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2147483648" w:after="0" w:afterLines="-2147483648" w:line="288" w:lineRule="auto"/>
        <w:jc w:val="center"/>
        <w:textAlignment w:val="auto"/>
        <w:rPr>
          <w:rFonts w:hint="eastAsia" w:ascii="宋体" w:hAnsi="宋体" w:eastAsia="宋体" w:cs="宋体"/>
          <w:b/>
          <w:sz w:val="24"/>
          <w:szCs w:val="24"/>
          <w:lang w:val="en-US" w:eastAsia="zh-CN"/>
        </w:rPr>
      </w:pPr>
      <w:bookmarkStart w:id="0" w:name="_Toc372526562"/>
      <w:r>
        <w:rPr>
          <w:rFonts w:hint="eastAsia" w:ascii="宋体" w:hAnsi="宋体" w:eastAsia="宋体" w:cs="宋体"/>
          <w:b/>
          <w:sz w:val="24"/>
          <w:szCs w:val="24"/>
          <w:lang w:val="en-US" w:eastAsia="zh-CN"/>
        </w:rPr>
        <w:t>盐城海洋职业学校</w:t>
      </w:r>
    </w:p>
    <w:p>
      <w:pPr>
        <w:pStyle w:val="3"/>
        <w:keepNext/>
        <w:keepLines/>
        <w:pageBreakBefore w:val="0"/>
        <w:widowControl w:val="0"/>
        <w:kinsoku/>
        <w:wordWrap/>
        <w:overflowPunct/>
        <w:topLinePunct w:val="0"/>
        <w:autoSpaceDE/>
        <w:autoSpaceDN/>
        <w:bidi w:val="0"/>
        <w:adjustRightInd/>
        <w:snapToGrid/>
        <w:spacing w:before="0" w:beforeLines="-2147483648" w:after="0" w:afterLines="-2147483648" w:line="288" w:lineRule="auto"/>
        <w:ind w:firstLine="480"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三年制中职</w:t>
      </w:r>
      <w:r>
        <w:rPr>
          <w:rFonts w:hint="eastAsia" w:ascii="宋体" w:hAnsi="宋体" w:eastAsia="宋体" w:cs="宋体"/>
          <w:b/>
          <w:sz w:val="24"/>
          <w:szCs w:val="24"/>
          <w:lang w:val="en-US" w:eastAsia="zh-Hans"/>
        </w:rPr>
        <w:t>国际货运代理</w:t>
      </w:r>
      <w:r>
        <w:rPr>
          <w:rFonts w:hint="eastAsia" w:ascii="宋体" w:hAnsi="宋体" w:eastAsia="宋体" w:cs="宋体"/>
          <w:b/>
          <w:sz w:val="24"/>
          <w:szCs w:val="24"/>
          <w:lang w:val="en-US" w:eastAsia="zh-CN"/>
        </w:rPr>
        <w:t>专业实施性人才培养方案</w:t>
      </w:r>
      <w:bookmarkEnd w:id="0"/>
    </w:p>
    <w:p>
      <w:pPr>
        <w:pStyle w:val="3"/>
        <w:keepNext/>
        <w:keepLines/>
        <w:pageBreakBefore w:val="0"/>
        <w:widowControl w:val="0"/>
        <w:kinsoku/>
        <w:wordWrap/>
        <w:overflowPunct/>
        <w:topLinePunct w:val="0"/>
        <w:autoSpaceDE/>
        <w:autoSpaceDN/>
        <w:bidi w:val="0"/>
        <w:adjustRightInd/>
        <w:snapToGrid/>
        <w:spacing w:before="0" w:beforeLines="-2147483648" w:after="0" w:afterLines="-2147483648" w:line="288"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（2023级）</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Hans"/>
        </w:rPr>
        <w:t>一</w:t>
      </w:r>
      <w:r>
        <w:rPr>
          <w:rFonts w:hint="eastAsia" w:ascii="宋体" w:hAnsi="宋体" w:eastAsia="宋体" w:cs="宋体"/>
          <w:b/>
          <w:bCs/>
          <w:sz w:val="24"/>
          <w:szCs w:val="24"/>
          <w:lang w:eastAsia="zh-Hans"/>
        </w:rPr>
        <w:t>、</w:t>
      </w:r>
      <w:r>
        <w:rPr>
          <w:rFonts w:hint="eastAsia" w:ascii="宋体" w:hAnsi="宋体" w:eastAsia="宋体" w:cs="宋体"/>
          <w:b/>
          <w:bCs/>
          <w:sz w:val="24"/>
          <w:szCs w:val="24"/>
        </w:rPr>
        <w:t>专业及</w:t>
      </w:r>
      <w:r>
        <w:rPr>
          <w:rFonts w:hint="eastAsia" w:ascii="宋体" w:hAnsi="宋体" w:eastAsia="宋体" w:cs="宋体"/>
          <w:b/>
          <w:bCs/>
          <w:sz w:val="24"/>
          <w:szCs w:val="24"/>
          <w:lang w:val="en-US" w:eastAsia="zh-CN"/>
        </w:rPr>
        <w:t>代码</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专业类别：财经商贸大类（代码：73）</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专业名称：国际货运代理</w:t>
      </w:r>
      <w:r>
        <w:rPr>
          <w:rFonts w:hint="eastAsia" w:ascii="宋体" w:hAnsi="宋体" w:eastAsia="宋体" w:cs="宋体"/>
          <w:bCs/>
          <w:sz w:val="24"/>
          <w:szCs w:val="24"/>
          <w:lang w:val="en-US" w:eastAsia="zh-CN"/>
        </w:rPr>
        <w:t>(专业代码：</w:t>
      </w:r>
      <w:r>
        <w:rPr>
          <w:rFonts w:hint="eastAsia" w:ascii="宋体" w:hAnsi="宋体" w:eastAsia="宋体" w:cs="宋体"/>
          <w:bCs/>
          <w:sz w:val="24"/>
          <w:szCs w:val="24"/>
        </w:rPr>
        <w:t>730803</w:t>
      </w:r>
      <w:r>
        <w:rPr>
          <w:rFonts w:hint="eastAsia" w:ascii="宋体" w:hAnsi="宋体" w:eastAsia="宋体" w:cs="宋体"/>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
          <w:bCs/>
          <w:sz w:val="24"/>
          <w:szCs w:val="24"/>
        </w:rPr>
        <w:t>二、入学要求与基本学制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入学要求：初中毕业生或具有同等学力者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基本学制：3年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三、培养目标</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本专业培养与我国社会主义现代化建设要求相适应，德、智、体、美全面发展，具有良好的职业道德和职业素养，掌握</w:t>
      </w:r>
      <w:r>
        <w:rPr>
          <w:rFonts w:hint="eastAsia" w:ascii="宋体" w:hAnsi="宋体" w:eastAsia="宋体" w:cs="宋体"/>
          <w:sz w:val="24"/>
          <w:szCs w:val="24"/>
          <w:highlight w:val="none"/>
        </w:rPr>
        <w:t>国际货运代理</w:t>
      </w:r>
      <w:r>
        <w:rPr>
          <w:rFonts w:hint="eastAsia" w:ascii="宋体" w:hAnsi="宋体" w:eastAsia="宋体" w:cs="宋体"/>
          <w:sz w:val="24"/>
          <w:szCs w:val="24"/>
        </w:rPr>
        <w:t>专业对应</w:t>
      </w:r>
      <w:r>
        <w:rPr>
          <w:rFonts w:hint="eastAsia" w:ascii="宋体" w:hAnsi="宋体" w:eastAsia="宋体" w:cs="宋体"/>
          <w:iCs/>
          <w:sz w:val="24"/>
          <w:szCs w:val="24"/>
        </w:rPr>
        <w:t>职业</w:t>
      </w:r>
      <w:r>
        <w:rPr>
          <w:rFonts w:hint="eastAsia" w:ascii="宋体" w:hAnsi="宋体" w:eastAsia="宋体" w:cs="宋体"/>
          <w:sz w:val="24"/>
          <w:szCs w:val="24"/>
        </w:rPr>
        <w:t>岗位必备的知识与技能，能从事</w:t>
      </w:r>
      <w:r>
        <w:rPr>
          <w:rFonts w:hint="eastAsia" w:ascii="宋体" w:hAnsi="宋体" w:eastAsia="宋体" w:cs="宋体"/>
          <w:bCs/>
          <w:sz w:val="24"/>
          <w:szCs w:val="24"/>
        </w:rPr>
        <w:t>国际货代岗位</w:t>
      </w:r>
      <w:r>
        <w:rPr>
          <w:rFonts w:hint="eastAsia" w:ascii="宋体" w:hAnsi="宋体" w:eastAsia="宋体" w:cs="宋体"/>
          <w:sz w:val="24"/>
          <w:szCs w:val="24"/>
        </w:rPr>
        <w:t>工作，具备职业生涯发展基础和终身学习能力，</w:t>
      </w:r>
      <w:r>
        <w:rPr>
          <w:rFonts w:hint="eastAsia" w:ascii="宋体" w:hAnsi="宋体" w:eastAsia="宋体" w:cs="宋体"/>
          <w:bCs/>
          <w:sz w:val="24"/>
          <w:szCs w:val="24"/>
        </w:rPr>
        <w:t>能</w:t>
      </w:r>
      <w:r>
        <w:rPr>
          <w:rFonts w:hint="eastAsia" w:ascii="宋体" w:hAnsi="宋体" w:eastAsia="宋体" w:cs="宋体"/>
          <w:sz w:val="24"/>
          <w:szCs w:val="24"/>
        </w:rPr>
        <w:t>胜任生产、服务、管理一线工作的高素质劳动者和技术技能人才。</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四、职业面向</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104"/>
        <w:gridCol w:w="1890"/>
        <w:gridCol w:w="176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1440" w:type="dxa"/>
            <w:shd w:val="clear" w:color="auto" w:fill="FFFFFF"/>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kern w:val="0"/>
                <w:sz w:val="24"/>
                <w:szCs w:val="24"/>
              </w:rPr>
              <w:t>专门化方向</w:t>
            </w:r>
          </w:p>
        </w:tc>
        <w:tc>
          <w:tcPr>
            <w:tcW w:w="2104" w:type="dxa"/>
            <w:shd w:val="clear" w:color="auto" w:fill="FFFFFF"/>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kern w:val="0"/>
                <w:sz w:val="24"/>
                <w:szCs w:val="24"/>
              </w:rPr>
              <w:t>职业（岗位）</w:t>
            </w:r>
          </w:p>
        </w:tc>
        <w:tc>
          <w:tcPr>
            <w:tcW w:w="1890" w:type="dxa"/>
            <w:shd w:val="clear" w:color="auto" w:fill="FFFFFF"/>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职业资格要求</w:t>
            </w:r>
          </w:p>
        </w:tc>
        <w:tc>
          <w:tcPr>
            <w:tcW w:w="3386" w:type="dxa"/>
            <w:gridSpan w:val="2"/>
            <w:shd w:val="clear" w:color="auto" w:fill="FFFFFF"/>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6" w:hRule="atLeast"/>
          <w:jc w:val="center"/>
        </w:trPr>
        <w:tc>
          <w:tcPr>
            <w:tcW w:w="1440"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Cs/>
                <w:sz w:val="24"/>
                <w:szCs w:val="24"/>
              </w:rPr>
            </w:pPr>
            <w:r>
              <w:rPr>
                <w:rFonts w:hint="eastAsia" w:ascii="宋体" w:hAnsi="宋体" w:eastAsia="宋体" w:cs="宋体"/>
                <w:bCs/>
                <w:sz w:val="24"/>
                <w:szCs w:val="24"/>
              </w:rPr>
              <w:t>国际货运代理</w:t>
            </w:r>
          </w:p>
        </w:tc>
        <w:tc>
          <w:tcPr>
            <w:tcW w:w="2104" w:type="dxa"/>
            <w:vAlign w:val="center"/>
          </w:tcPr>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单证员</w:t>
            </w:r>
          </w:p>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报关报检员</w:t>
            </w:r>
          </w:p>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港口码头作业操作员</w:t>
            </w:r>
          </w:p>
        </w:tc>
        <w:tc>
          <w:tcPr>
            <w:tcW w:w="1890" w:type="dxa"/>
            <w:vAlign w:val="center"/>
          </w:tcPr>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国际商务单证员</w:t>
            </w:r>
          </w:p>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物流员</w:t>
            </w:r>
          </w:p>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国际货运代理员</w:t>
            </w:r>
          </w:p>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报检员</w:t>
            </w:r>
          </w:p>
        </w:tc>
        <w:tc>
          <w:tcPr>
            <w:tcW w:w="1766" w:type="dxa"/>
            <w:vAlign w:val="center"/>
          </w:tcPr>
          <w:p>
            <w:pPr>
              <w:pageBreakBefore w:val="0"/>
              <w:kinsoku/>
              <w:wordWrap/>
              <w:overflowPunct/>
              <w:topLinePunct w:val="0"/>
              <w:autoSpaceDE/>
              <w:autoSpaceDN/>
              <w:bidi w:val="0"/>
              <w:adjustRightInd/>
              <w:spacing w:line="288" w:lineRule="auto"/>
              <w:jc w:val="left"/>
              <w:rPr>
                <w:rFonts w:hint="eastAsia" w:ascii="宋体" w:hAnsi="宋体" w:eastAsia="宋体" w:cs="宋体"/>
                <w:bCs/>
                <w:sz w:val="24"/>
                <w:szCs w:val="24"/>
              </w:rPr>
            </w:pPr>
            <w:r>
              <w:rPr>
                <w:rFonts w:hint="eastAsia" w:ascii="宋体" w:hAnsi="宋体" w:eastAsia="宋体" w:cs="宋体"/>
                <w:bCs/>
                <w:sz w:val="24"/>
                <w:szCs w:val="24"/>
              </w:rPr>
              <w:t>高职：</w:t>
            </w:r>
          </w:p>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物流管理</w:t>
            </w:r>
          </w:p>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关务与外贸服务</w:t>
            </w:r>
          </w:p>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国际商务</w:t>
            </w:r>
          </w:p>
        </w:tc>
        <w:tc>
          <w:tcPr>
            <w:tcW w:w="1620" w:type="dxa"/>
            <w:vAlign w:val="center"/>
          </w:tcPr>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本科：</w:t>
            </w:r>
          </w:p>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物流管理</w:t>
            </w:r>
          </w:p>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国际经济与贸易</w:t>
            </w:r>
          </w:p>
          <w:p>
            <w:pPr>
              <w:pageBreakBefore w:val="0"/>
              <w:kinsoku/>
              <w:wordWrap/>
              <w:overflowPunct/>
              <w:topLinePunct w:val="0"/>
              <w:autoSpaceDE/>
              <w:autoSpaceDN/>
              <w:bidi w:val="0"/>
              <w:adjustRightInd/>
              <w:spacing w:line="288" w:lineRule="auto"/>
              <w:rPr>
                <w:rFonts w:hint="eastAsia" w:ascii="宋体" w:hAnsi="宋体" w:eastAsia="宋体" w:cs="宋体"/>
                <w:bCs/>
                <w:sz w:val="24"/>
                <w:szCs w:val="24"/>
              </w:rPr>
            </w:pPr>
            <w:r>
              <w:rPr>
                <w:rFonts w:hint="eastAsia" w:ascii="宋体" w:hAnsi="宋体" w:eastAsia="宋体" w:cs="宋体"/>
                <w:bCs/>
                <w:sz w:val="24"/>
                <w:szCs w:val="24"/>
              </w:rPr>
              <w:t>国际商务</w:t>
            </w: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lang w:val="en-US" w:eastAsia="zh-CN"/>
        </w:rPr>
        <w:t>培养规格</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综合素质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1.具有良好的道德品质、职业素养、竞争和创新意识。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2.具有良好的责任心、进取心和坚强的意志。</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3.具有良好的人际交往、团队协作能力。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4.具有健康的身体和心理。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5.具有良好的书面表达和口头表达能力。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6.具有良好的人文素养和继续学习的能力。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7.具有运用计算机进行技术交流和信息处理的能力。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8.具有借助工具查阅中、英文技术资料的基础能力。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（二）职业能力（职业能力分析</w:t>
      </w:r>
      <w:r>
        <w:rPr>
          <w:rFonts w:hint="eastAsia" w:ascii="宋体" w:hAnsi="宋体" w:eastAsia="宋体" w:cs="宋体"/>
          <w:b/>
          <w:sz w:val="24"/>
          <w:szCs w:val="24"/>
          <w:lang w:val="en-US" w:eastAsia="zh-CN"/>
        </w:rPr>
        <w:t>表</w:t>
      </w:r>
      <w:r>
        <w:rPr>
          <w:rFonts w:hint="eastAsia" w:ascii="宋体" w:hAnsi="宋体" w:eastAsia="宋体" w:cs="宋体"/>
          <w:b/>
          <w:sz w:val="24"/>
          <w:szCs w:val="24"/>
        </w:rPr>
        <w:t>见附</w:t>
      </w:r>
      <w:r>
        <w:rPr>
          <w:rFonts w:hint="eastAsia" w:ascii="宋体" w:hAnsi="宋体" w:eastAsia="宋体" w:cs="宋体"/>
          <w:b/>
          <w:sz w:val="24"/>
          <w:szCs w:val="24"/>
          <w:lang w:val="en-US" w:eastAsia="zh-CN"/>
        </w:rPr>
        <w:t>件1</w:t>
      </w:r>
      <w:r>
        <w:rPr>
          <w:rFonts w:hint="eastAsia" w:ascii="宋体" w:hAnsi="宋体" w:eastAsia="宋体" w:cs="宋体"/>
          <w:b/>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1.行业通用能力：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（1）基本的成本核算、账务处理能力：具有计算货代物流服务费用、核算物流服务成本的能力；具有基本的物流企业账务处理能力。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（2）物流市场开发与维护能力：具有物流市场调研能力；具有物流市场开发能力；具有物流客户的沟通与维护能力；具有简单物流市场营销策略的制定能力。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（3）货品的识别与简单养护能力：具有常见货品的识别判断能力；具有常见货品的养护能力。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（4）开展电子商务业务的基本能力：具有电子商务物流模式的判断能力；具有开展电子商务采购、库存管理、货品配送等工作的基本能力。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（5）常见物流设施设备的使用与维护能力：具有常见物流设施设备的识别能力；具有操作常见物流设施设备的能力；具有维护和保养常见物流设施设备的能力；具有常见物流设施设备故障排除的基础能力。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（6）开展仓储业务的基本能力：具有仓储业务基本流程的处理能力；具有货品进、出、存相关作业的计划及实施能力。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（7）开展运输业务的基本能力：具有运输业务基本流程的处理能力；具有常见运输作业的计划及实施能力。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2.职业特定能力：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（1）具有国际货代业务和集装箱运输业务的基本作业流程的判断能力。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（2）具有进行货运代理单证的准备与管理，各种货运单证的受理、分析、审核、填制、复核和保管的能力。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（3）具有根据国际货代业务管理流程，完成揽货订舱、接交货、出入库、拼拆箱、装卸车、接驳等作业环节操作的能力。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（4）具有熟悉报关、报检、保险、运费交付、结算等基本流程，能开展报关和报检业务，能完成相关单证的缮制的能力。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（5）具有货运保险知识、缮制货物运输投保单和保险单的能力。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3.跨行业职业能力：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（1）具有适应岗位变化的能力。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（2）具有企业管理及生产现场管理的基础能力。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（3）具有创新和创业的基础能力。</w:t>
      </w:r>
    </w:p>
    <w:p>
      <w:pPr>
        <w:keepNext w:val="0"/>
        <w:keepLines w:val="0"/>
        <w:pageBreakBefore w:val="0"/>
        <w:widowControl w:val="0"/>
        <w:kinsoku/>
        <w:wordWrap/>
        <w:overflowPunct/>
        <w:topLinePunct w:val="0"/>
        <w:autoSpaceDE/>
        <w:autoSpaceDN/>
        <w:bidi w:val="0"/>
        <w:adjustRightInd/>
        <w:snapToGrid/>
        <w:spacing w:line="288" w:lineRule="auto"/>
        <w:ind w:left="472"/>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六、课程</w:t>
      </w:r>
      <w:r>
        <w:rPr>
          <w:rFonts w:hint="eastAsia" w:ascii="宋体" w:hAnsi="宋体" w:eastAsia="宋体" w:cs="宋体"/>
          <w:b/>
          <w:sz w:val="24"/>
          <w:szCs w:val="24"/>
          <w:lang w:val="en-US" w:eastAsia="zh-CN"/>
        </w:rPr>
        <w:t>设置及教学要求</w:t>
      </w:r>
    </w:p>
    <w:p>
      <w:pPr>
        <w:keepNext w:val="0"/>
        <w:keepLines w:val="0"/>
        <w:pageBreakBefore w:val="0"/>
        <w:widowControl w:val="0"/>
        <w:kinsoku/>
        <w:wordWrap/>
        <w:overflowPunct/>
        <w:topLinePunct w:val="0"/>
        <w:autoSpaceDE/>
        <w:autoSpaceDN/>
        <w:bidi w:val="0"/>
        <w:adjustRightInd/>
        <w:snapToGrid/>
        <w:spacing w:line="288" w:lineRule="auto"/>
        <w:ind w:left="472"/>
        <w:textAlignment w:val="auto"/>
        <w:rPr>
          <w:rFonts w:hint="eastAsia" w:ascii="宋体" w:hAnsi="宋体" w:eastAsia="宋体" w:cs="宋体"/>
          <w:b/>
          <w:sz w:val="24"/>
          <w:szCs w:val="24"/>
          <w:lang w:eastAsia="zh-CN"/>
        </w:rPr>
      </w:pPr>
      <w:r>
        <w:rPr>
          <w:rFonts w:hint="eastAsia" w:ascii="宋体" w:hAnsi="宋体" w:eastAsia="宋体" w:cs="宋体"/>
          <w:b/>
          <w:sz w:val="24"/>
          <w:szCs w:val="24"/>
        </w:rPr>
        <w:t>（一）课程</w:t>
      </w:r>
      <w:r>
        <w:rPr>
          <w:rFonts w:hint="eastAsia" w:ascii="宋体" w:hAnsi="宋体" w:eastAsia="宋体" w:cs="宋体"/>
          <w:b/>
          <w:sz w:val="24"/>
          <w:szCs w:val="24"/>
          <w:lang w:val="en-US" w:eastAsia="zh-CN"/>
        </w:rPr>
        <w:t>结构</w:t>
      </w:r>
    </w:p>
    <w:p>
      <w:pPr>
        <w:pageBreakBefore w:val="0"/>
        <w:shd w:val="clear" w:color="auto" w:fill="FFFFFF"/>
        <w:kinsoku/>
        <w:wordWrap/>
        <w:overflowPunct/>
        <w:topLinePunct w:val="0"/>
        <w:autoSpaceDE/>
        <w:autoSpaceDN/>
        <w:bidi w:val="0"/>
        <w:adjustRightInd/>
        <w:spacing w:line="288"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1.公共基础课程教学要求</w:t>
      </w:r>
    </w:p>
    <w:tbl>
      <w:tblPr>
        <w:tblStyle w:val="11"/>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6355"/>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课程名称</w:t>
            </w:r>
          </w:p>
        </w:tc>
        <w:tc>
          <w:tcPr>
            <w:tcW w:w="6355" w:type="dxa"/>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教学内容及要求</w:t>
            </w:r>
          </w:p>
        </w:tc>
        <w:tc>
          <w:tcPr>
            <w:tcW w:w="1112" w:type="dxa"/>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eastAsia="zh-CN"/>
              </w:rPr>
            </w:pPr>
            <w:bookmarkStart w:id="1" w:name="_GoBack" w:colFirst="2" w:colLast="2"/>
            <w:r>
              <w:rPr>
                <w:rFonts w:hint="eastAsia" w:ascii="宋体" w:hAnsi="宋体" w:eastAsia="宋体" w:cs="宋体"/>
                <w:sz w:val="24"/>
                <w:szCs w:val="24"/>
                <w:highlight w:val="none"/>
                <w:lang w:val="zh-CN"/>
              </w:rPr>
              <w:t>思想政治</w:t>
            </w:r>
          </w:p>
        </w:tc>
        <w:tc>
          <w:tcPr>
            <w:tcW w:w="6355"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执行教育部颁布的《中等职业学校思想政治课程标准》和省有关本课程的教学要求，在</w:t>
            </w:r>
            <w:r>
              <w:rPr>
                <w:rFonts w:hint="eastAsia" w:ascii="宋体" w:hAnsi="宋体" w:eastAsia="宋体" w:cs="宋体"/>
                <w:bCs/>
                <w:sz w:val="24"/>
                <w:szCs w:val="24"/>
                <w:highlight w:val="none"/>
                <w:lang w:val="en-US" w:eastAsia="zh-CN"/>
              </w:rPr>
              <w:t>1-4学期</w:t>
            </w:r>
            <w:r>
              <w:rPr>
                <w:rFonts w:hint="eastAsia" w:ascii="宋体" w:hAnsi="宋体" w:eastAsia="宋体" w:cs="宋体"/>
                <w:bCs/>
                <w:sz w:val="24"/>
                <w:szCs w:val="24"/>
                <w:highlight w:val="none"/>
                <w:lang w:val="zh-CN"/>
              </w:rPr>
              <w:t>分别开设《中国特色社会主义》《心理健康与职业生涯》《哲学与人生》《职业道德与法治》，</w:t>
            </w:r>
            <w:r>
              <w:rPr>
                <w:rFonts w:hint="eastAsia" w:ascii="宋体" w:hAnsi="宋体" w:eastAsia="宋体" w:cs="宋体"/>
                <w:bCs/>
                <w:sz w:val="24"/>
                <w:szCs w:val="24"/>
                <w:highlight w:val="none"/>
                <w:lang w:val="en-US" w:eastAsia="zh-CN"/>
              </w:rPr>
              <w:t>36学时/学期</w:t>
            </w:r>
            <w:r>
              <w:rPr>
                <w:rFonts w:hint="eastAsia" w:ascii="宋体" w:hAnsi="宋体" w:eastAsia="宋体" w:cs="宋体"/>
                <w:bCs/>
                <w:sz w:val="24"/>
                <w:szCs w:val="24"/>
                <w:highlight w:val="none"/>
                <w:lang w:val="zh-CN"/>
              </w:rPr>
              <w:t>，第五学期开设</w:t>
            </w:r>
            <w:r>
              <w:rPr>
                <w:rFonts w:hint="eastAsia" w:ascii="宋体" w:hAnsi="宋体" w:eastAsia="宋体" w:cs="宋体"/>
                <w:bCs/>
                <w:sz w:val="24"/>
                <w:szCs w:val="24"/>
                <w:highlight w:val="none"/>
                <w:lang w:val="zh-CN" w:eastAsia="zh-CN"/>
              </w:rPr>
              <w:t>《职业素养与情感》（限选），</w:t>
            </w:r>
            <w:r>
              <w:rPr>
                <w:rFonts w:hint="eastAsia" w:ascii="宋体" w:hAnsi="宋体" w:eastAsia="宋体" w:cs="宋体"/>
                <w:bCs/>
                <w:sz w:val="24"/>
                <w:szCs w:val="24"/>
                <w:highlight w:val="none"/>
                <w:lang w:val="en-US" w:eastAsia="zh-CN"/>
              </w:rPr>
              <w:t>36学时</w:t>
            </w:r>
            <w:r>
              <w:rPr>
                <w:rFonts w:hint="eastAsia" w:ascii="宋体" w:hAnsi="宋体" w:eastAsia="宋体" w:cs="宋体"/>
                <w:bCs/>
                <w:sz w:val="24"/>
                <w:szCs w:val="24"/>
                <w:highlight w:val="none"/>
                <w:lang w:val="zh-CN"/>
              </w:rPr>
              <w:t>。</w:t>
            </w:r>
          </w:p>
        </w:tc>
        <w:tc>
          <w:tcPr>
            <w:tcW w:w="1112"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144</w:t>
            </w:r>
            <w:r>
              <w:rPr>
                <w:rFonts w:hint="eastAsia" w:ascii="宋体" w:hAnsi="宋体" w:eastAsia="宋体" w:cs="宋体"/>
                <w:bCs/>
                <w:sz w:val="24"/>
                <w:szCs w:val="24"/>
                <w:highlight w:val="none"/>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语文</w:t>
            </w:r>
          </w:p>
        </w:tc>
        <w:tc>
          <w:tcPr>
            <w:tcW w:w="6355"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执行教育部颁布的《中等职业学校语文课程标准》和省有关本课程的教学要求，注重与行业发展、专业实际相结合。其中限定选修（职业模块）54学时的教学内容</w:t>
            </w:r>
            <w:r>
              <w:rPr>
                <w:rFonts w:hint="eastAsia" w:ascii="宋体" w:hAnsi="宋体" w:cs="宋体"/>
                <w:bCs/>
                <w:sz w:val="24"/>
                <w:szCs w:val="24"/>
                <w:highlight w:val="none"/>
                <w:lang w:val="zh-CN"/>
              </w:rPr>
              <w:t>。</w:t>
            </w:r>
          </w:p>
        </w:tc>
        <w:tc>
          <w:tcPr>
            <w:tcW w:w="1112"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数学</w:t>
            </w:r>
          </w:p>
        </w:tc>
        <w:tc>
          <w:tcPr>
            <w:tcW w:w="6355"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zh-CN"/>
              </w:rPr>
              <w:t>执行教育部颁布的《中等职业学校数学课程标准》和省有关本课程的教学要求，注重与行业发展、专业实际相结合。其中限定选修（职业模块）36学时的教学内容。</w:t>
            </w:r>
          </w:p>
        </w:tc>
        <w:tc>
          <w:tcPr>
            <w:tcW w:w="1112" w:type="dxa"/>
            <w:tcBorders>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英语</w:t>
            </w:r>
          </w:p>
        </w:tc>
        <w:tc>
          <w:tcPr>
            <w:tcW w:w="6355"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执行教育部颁布的《中等职业学校英语课程标准》和省有关本课程的教学要求，注重与行业发展、专业实际相结合。其中限定选修（职业模块）36学时的教学内容。</w:t>
            </w:r>
          </w:p>
        </w:tc>
        <w:tc>
          <w:tcPr>
            <w:tcW w:w="111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体育与健康</w:t>
            </w:r>
          </w:p>
        </w:tc>
        <w:tc>
          <w:tcPr>
            <w:tcW w:w="6355"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执行教育部颁布的《中等职业学校体育与健康课程标准》和省有关本课程的教学要求，注重与行业发展、专业实际相结合。其中限定选修和任意选修教学内容。</w:t>
            </w:r>
          </w:p>
        </w:tc>
        <w:tc>
          <w:tcPr>
            <w:tcW w:w="111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信息技术</w:t>
            </w:r>
          </w:p>
        </w:tc>
        <w:tc>
          <w:tcPr>
            <w:tcW w:w="6355"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执行教育部颁布的《中等职业学校信息技术课程标准》和省有关本课程的教学要求，注重与行业发展、专业实际相结合。具体教学内容应结合</w:t>
            </w:r>
            <w:r>
              <w:rPr>
                <w:rFonts w:hint="eastAsia" w:ascii="宋体" w:hAnsi="宋体" w:eastAsia="宋体" w:cs="宋体"/>
                <w:bCs/>
                <w:sz w:val="24"/>
                <w:szCs w:val="24"/>
                <w:highlight w:val="none"/>
                <w:lang w:val="en-US" w:eastAsia="zh-CN"/>
              </w:rPr>
              <w:t>国际货代</w:t>
            </w:r>
            <w:r>
              <w:rPr>
                <w:rFonts w:hint="eastAsia" w:ascii="宋体" w:hAnsi="宋体" w:eastAsia="宋体" w:cs="宋体"/>
                <w:bCs/>
                <w:sz w:val="24"/>
                <w:szCs w:val="24"/>
                <w:highlight w:val="none"/>
                <w:lang w:val="zh-CN"/>
              </w:rPr>
              <w:t>专业情况、学生发展需要，依据课程标准选择确定。</w:t>
            </w:r>
          </w:p>
        </w:tc>
        <w:tc>
          <w:tcPr>
            <w:tcW w:w="111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历史</w:t>
            </w:r>
          </w:p>
        </w:tc>
        <w:tc>
          <w:tcPr>
            <w:tcW w:w="6355"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执行教育部颁布的《中等职业学校历史课程标准》和省有关本课程的教学要求，注重与行业发展、专业实际相结合。</w:t>
            </w:r>
          </w:p>
        </w:tc>
        <w:tc>
          <w:tcPr>
            <w:tcW w:w="111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kern w:val="2"/>
                <w:sz w:val="24"/>
                <w:szCs w:val="24"/>
                <w:highlight w:val="none"/>
                <w:lang w:val="zh-CN" w:eastAsia="zh-CN" w:bidi="ar-SA"/>
              </w:rPr>
            </w:pPr>
            <w:r>
              <w:rPr>
                <w:rFonts w:hint="eastAsia" w:ascii="宋体" w:hAnsi="宋体" w:eastAsia="宋体" w:cs="宋体"/>
                <w:bCs/>
                <w:sz w:val="24"/>
                <w:szCs w:val="24"/>
                <w:highlight w:val="none"/>
                <w:lang w:val="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艺术</w:t>
            </w:r>
          </w:p>
        </w:tc>
        <w:tc>
          <w:tcPr>
            <w:tcW w:w="6355"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执行教育部颁布的《中等职业学校艺术课程标准》和省有关本课程的教学要求，注重与行业发展、专业实际相结合。</w:t>
            </w:r>
          </w:p>
        </w:tc>
        <w:tc>
          <w:tcPr>
            <w:tcW w:w="111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27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劳动教育</w:t>
            </w:r>
          </w:p>
        </w:tc>
        <w:tc>
          <w:tcPr>
            <w:tcW w:w="6355"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执行中共中央国务院发布的《关于全面加强新时代大中小学劳动教育的意见》相关要求，劳动教育以实习实训课为主要载体开展，其中劳动精神、劳模精神、工匠精神专题教育不少于16学时。</w:t>
            </w:r>
          </w:p>
        </w:tc>
        <w:tc>
          <w:tcPr>
            <w:tcW w:w="1112" w:type="dxa"/>
            <w:tcBorders>
              <w:top w:val="single" w:color="auto" w:sz="4" w:space="0"/>
              <w:bottom w:val="single" w:color="auto" w:sz="4" w:space="0"/>
            </w:tcBorders>
            <w:vAlign w:val="center"/>
          </w:tcPr>
          <w:p>
            <w:pPr>
              <w:pageBreakBefore w:val="0"/>
              <w:shd w:val="clear" w:color="auto" w:fill="FFFFFF"/>
              <w:kinsoku/>
              <w:wordWrap/>
              <w:overflowPunct/>
              <w:topLinePunct w:val="0"/>
              <w:autoSpaceDE/>
              <w:autoSpaceDN/>
              <w:bidi w:val="0"/>
              <w:adjustRightInd/>
              <w:spacing w:line="288" w:lineRule="auto"/>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18</w:t>
            </w:r>
          </w:p>
        </w:tc>
      </w:tr>
      <w:bookmarkEnd w:id="1"/>
    </w:tbl>
    <w:p>
      <w:pPr>
        <w:pageBreakBefore w:val="0"/>
        <w:shd w:val="clear" w:color="auto" w:fill="FFFFFF"/>
        <w:kinsoku/>
        <w:wordWrap/>
        <w:overflowPunct/>
        <w:topLinePunct w:val="0"/>
        <w:autoSpaceDE/>
        <w:autoSpaceDN/>
        <w:bidi w:val="0"/>
        <w:adjustRightInd/>
        <w:spacing w:line="288" w:lineRule="auto"/>
        <w:ind w:firstLine="480" w:firstLineChars="200"/>
        <w:rPr>
          <w:rFonts w:hint="eastAsia" w:ascii="宋体" w:hAnsi="宋体" w:eastAsia="宋体" w:cs="宋体"/>
          <w:bCs/>
          <w:sz w:val="24"/>
          <w:szCs w:val="24"/>
          <w:highlight w:val="yellow"/>
        </w:rPr>
        <w:sectPr>
          <w:footerReference r:id="rId3" w:type="default"/>
          <w:footerReference r:id="rId4" w:type="even"/>
          <w:pgSz w:w="11906" w:h="16838"/>
          <w:pgMar w:top="1418" w:right="1588" w:bottom="1418" w:left="1588" w:header="851" w:footer="992" w:gutter="0"/>
          <w:cols w:space="720" w:num="1"/>
          <w:docGrid w:type="lines" w:linePitch="312" w:charSpace="0"/>
        </w:sectPr>
      </w:pPr>
    </w:p>
    <w:p>
      <w:pPr>
        <w:pageBreakBefore w:val="0"/>
        <w:shd w:val="clear" w:color="auto" w:fill="FFFFFF"/>
        <w:kinsoku/>
        <w:wordWrap/>
        <w:overflowPunct/>
        <w:topLinePunct w:val="0"/>
        <w:autoSpaceDE/>
        <w:autoSpaceDN/>
        <w:bidi w:val="0"/>
        <w:adjustRightInd/>
        <w:spacing w:line="288"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2.主要专业（技能）课程教学要求</w:t>
      </w:r>
    </w:p>
    <w:tbl>
      <w:tblPr>
        <w:tblStyle w:val="1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3127"/>
        <w:gridCol w:w="4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课程名称</w:t>
            </w:r>
          </w:p>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(课时)</w:t>
            </w:r>
          </w:p>
        </w:tc>
        <w:tc>
          <w:tcPr>
            <w:tcW w:w="3127"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主要内容</w:t>
            </w:r>
          </w:p>
        </w:tc>
        <w:tc>
          <w:tcPr>
            <w:tcW w:w="4228"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8" w:hRule="atLeast"/>
          <w:jc w:val="center"/>
        </w:trPr>
        <w:tc>
          <w:tcPr>
            <w:tcW w:w="139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国际贸易实务</w:t>
            </w:r>
          </w:p>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72</w:t>
            </w:r>
            <w:r>
              <w:rPr>
                <w:rFonts w:hint="eastAsia" w:ascii="宋体" w:hAnsi="宋体" w:eastAsia="宋体" w:cs="宋体"/>
                <w:spacing w:val="-10"/>
                <w:sz w:val="24"/>
                <w:szCs w:val="24"/>
                <w:highlight w:val="none"/>
              </w:rPr>
              <w:t>）</w:t>
            </w:r>
          </w:p>
        </w:tc>
        <w:tc>
          <w:tcPr>
            <w:tcW w:w="3127" w:type="dxa"/>
            <w:vAlign w:val="top"/>
          </w:tcPr>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（1）国际</w:t>
            </w:r>
            <w:r>
              <w:rPr>
                <w:rFonts w:hint="eastAsia" w:ascii="宋体" w:hAnsi="宋体" w:cs="宋体"/>
                <w:spacing w:val="-10"/>
                <w:sz w:val="24"/>
                <w:szCs w:val="24"/>
                <w:highlight w:val="none"/>
                <w:lang w:val="en-US" w:eastAsia="zh-CN"/>
              </w:rPr>
              <w:t>贸易术语</w:t>
            </w:r>
            <w:r>
              <w:rPr>
                <w:rFonts w:hint="eastAsia" w:ascii="宋体" w:hAnsi="宋体" w:eastAsia="宋体" w:cs="宋体"/>
                <w:spacing w:val="-10"/>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w:t>
            </w:r>
            <w:r>
              <w:rPr>
                <w:rFonts w:hint="eastAsia" w:ascii="宋体" w:hAnsi="宋体" w:cs="宋体"/>
                <w:spacing w:val="-10"/>
                <w:sz w:val="24"/>
                <w:szCs w:val="24"/>
                <w:highlight w:val="none"/>
                <w:lang w:val="en-US" w:eastAsia="zh-CN"/>
              </w:rPr>
              <w:t>交易磋商</w:t>
            </w:r>
            <w:r>
              <w:rPr>
                <w:rFonts w:hint="eastAsia" w:ascii="宋体" w:hAnsi="宋体" w:eastAsia="宋体" w:cs="宋体"/>
                <w:spacing w:val="-10"/>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w:t>
            </w:r>
            <w:r>
              <w:rPr>
                <w:rFonts w:hint="eastAsia" w:ascii="宋体" w:hAnsi="宋体" w:cs="宋体"/>
                <w:spacing w:val="-10"/>
                <w:sz w:val="24"/>
                <w:szCs w:val="24"/>
                <w:highlight w:val="none"/>
                <w:lang w:val="en-US" w:eastAsia="zh-CN"/>
              </w:rPr>
              <w:t>国际货物运输</w:t>
            </w:r>
            <w:r>
              <w:rPr>
                <w:rFonts w:hint="eastAsia" w:ascii="宋体" w:hAnsi="宋体" w:eastAsia="宋体" w:cs="宋体"/>
                <w:spacing w:val="-10"/>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（4）国际</w:t>
            </w:r>
            <w:r>
              <w:rPr>
                <w:rFonts w:hint="eastAsia" w:ascii="宋体" w:hAnsi="宋体" w:cs="宋体"/>
                <w:spacing w:val="-10"/>
                <w:sz w:val="24"/>
                <w:szCs w:val="24"/>
                <w:highlight w:val="none"/>
                <w:lang w:val="en-US" w:eastAsia="zh-CN"/>
              </w:rPr>
              <w:t>货物运输保险</w:t>
            </w:r>
            <w:r>
              <w:rPr>
                <w:rFonts w:hint="eastAsia" w:ascii="宋体" w:hAnsi="宋体" w:eastAsia="宋体" w:cs="宋体"/>
                <w:spacing w:val="-10"/>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（5）国际</w:t>
            </w:r>
            <w:r>
              <w:rPr>
                <w:rFonts w:hint="eastAsia" w:ascii="宋体" w:hAnsi="宋体" w:cs="宋体"/>
                <w:spacing w:val="-10"/>
                <w:sz w:val="24"/>
                <w:szCs w:val="24"/>
                <w:highlight w:val="none"/>
                <w:lang w:val="en-US" w:eastAsia="zh-CN"/>
              </w:rPr>
              <w:t>货款结算</w:t>
            </w:r>
            <w:r>
              <w:rPr>
                <w:rFonts w:hint="eastAsia" w:ascii="宋体" w:hAnsi="宋体" w:eastAsia="宋体" w:cs="宋体"/>
                <w:spacing w:val="-10"/>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w:t>
            </w:r>
            <w:r>
              <w:rPr>
                <w:rFonts w:hint="eastAsia" w:ascii="宋体" w:hAnsi="宋体" w:cs="宋体"/>
                <w:spacing w:val="-10"/>
                <w:sz w:val="24"/>
                <w:szCs w:val="24"/>
                <w:highlight w:val="none"/>
                <w:lang w:val="en-US" w:eastAsia="zh-CN"/>
              </w:rPr>
              <w:t>争议、不可抗力、索赔、理赔</w:t>
            </w:r>
            <w:r>
              <w:rPr>
                <w:rFonts w:hint="eastAsia" w:ascii="宋体" w:hAnsi="宋体" w:eastAsia="宋体" w:cs="宋体"/>
                <w:spacing w:val="-10"/>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kern w:val="2"/>
                <w:sz w:val="24"/>
                <w:szCs w:val="24"/>
                <w:highlight w:val="none"/>
                <w:lang w:val="en-US" w:eastAsia="zh-CN" w:bidi="ar-SA"/>
              </w:rPr>
            </w:pPr>
          </w:p>
        </w:tc>
        <w:tc>
          <w:tcPr>
            <w:tcW w:w="4228" w:type="dxa"/>
            <w:vAlign w:val="top"/>
          </w:tcPr>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1、进出口贸易业务系统运作和管理的能力；</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2、贸易、商务等部门具体操作和动手能力；</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3、贸易公司基层部门管理能力；</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4、具备基本的电子商务和网络营销能力；</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5、具备国际商务谈判能力；</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sz w:val="24"/>
                <w:szCs w:val="24"/>
                <w:highlight w:val="none"/>
              </w:rPr>
              <w:t>6、运用英语从事进出口业务工作的能力（包括一般商务信函、磋商、外贸跟单及各种单证制作）。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8" w:hRule="atLeast"/>
          <w:jc w:val="center"/>
        </w:trPr>
        <w:tc>
          <w:tcPr>
            <w:tcW w:w="139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国际货代实务</w:t>
            </w:r>
          </w:p>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72</w:t>
            </w:r>
            <w:r>
              <w:rPr>
                <w:rFonts w:hint="eastAsia" w:ascii="宋体" w:hAnsi="宋体" w:eastAsia="宋体" w:cs="宋体"/>
                <w:spacing w:val="-10"/>
                <w:sz w:val="24"/>
                <w:szCs w:val="24"/>
                <w:highlight w:val="none"/>
              </w:rPr>
              <w:t>）</w:t>
            </w:r>
          </w:p>
        </w:tc>
        <w:tc>
          <w:tcPr>
            <w:tcW w:w="3127" w:type="dxa"/>
            <w:vAlign w:val="top"/>
          </w:tcPr>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（1）国际货运代理基础；</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（2）国际货运代理法律；</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（3）代理报检与报关；</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（4）国际海运代理实务；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（5）国际航空货运代理实务；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（6）国际陆路货运代理实务；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（7）国际集装箱及多式联运代理实务；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（8）其他代理实务；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（9）国际货运代理纠纷</w:t>
            </w:r>
          </w:p>
        </w:tc>
        <w:tc>
          <w:tcPr>
            <w:tcW w:w="4228" w:type="dxa"/>
            <w:vAlign w:val="top"/>
          </w:tcPr>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（1）能描述国际货运代理服务内容、掌握行业从业规范；</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（2）能按货运代理流程处理揽货、订舱、托运、仓储、包装等货代业务；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（3）能掌握货物监管、监卸、分拨、中转、集装箱拼箱、拆箱等货代服务技能；</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 xml:space="preserve">（4）掌握货物及运输工具报关、报检、报验、保险、运费交付、结算等基本流程及相关单证的缮制方法； </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（5）掌握国际多式联运、集运等货运组织方式方法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报关实务</w:t>
            </w:r>
          </w:p>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72</w:t>
            </w:r>
            <w:r>
              <w:rPr>
                <w:rFonts w:hint="eastAsia" w:ascii="宋体" w:hAnsi="宋体" w:eastAsia="宋体" w:cs="宋体"/>
                <w:spacing w:val="-10"/>
                <w:sz w:val="24"/>
                <w:szCs w:val="24"/>
                <w:highlight w:val="none"/>
              </w:rPr>
              <w:t>）</w:t>
            </w:r>
          </w:p>
        </w:tc>
        <w:tc>
          <w:tcPr>
            <w:tcW w:w="3127" w:type="dxa"/>
            <w:vAlign w:val="top"/>
          </w:tcPr>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（1）报关理论与实务；</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（2）报关管理制度；</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（3）报关与对外贸易管制；</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（4）进出口商品归类；</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（5）一般进出口货物、保税加工货物、保税物流货物、特定减免税货物、暂准进出境货物的通关；</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（6）海关税费、海关代征税费；</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（7）进出口货物报关单的填制；</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（8）电子报检、电子转单和电子通关等</w:t>
            </w:r>
          </w:p>
        </w:tc>
        <w:tc>
          <w:tcPr>
            <w:tcW w:w="4228" w:type="dxa"/>
            <w:vAlign w:val="top"/>
          </w:tcPr>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 xml:space="preserve">（1）能够熟练查找商品编码，掌握商品归类的技巧；  </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（2）熟悉进行进出口业务的报检操作流程和操作技能；</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（3）能填写进出口货物的报检单，熟悉各类报检常用单证；</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（4）能够设计各类海关监管货物的申报程序及其应用；</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（5）能填制报关单，具有常用外贸业务软件的操作技能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国际单证实务</w:t>
            </w:r>
          </w:p>
          <w:p>
            <w:pPr>
              <w:pageBreakBefore w:val="0"/>
              <w:kinsoku/>
              <w:wordWrap/>
              <w:overflowPunct/>
              <w:topLinePunct w:val="0"/>
              <w:autoSpaceDE/>
              <w:autoSpaceDN/>
              <w:bidi w:val="0"/>
              <w:adjustRightInd/>
              <w:spacing w:line="288"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54</w:t>
            </w:r>
            <w:r>
              <w:rPr>
                <w:rFonts w:hint="eastAsia" w:ascii="宋体" w:hAnsi="宋体" w:eastAsia="宋体" w:cs="宋体"/>
                <w:spacing w:val="-10"/>
                <w:sz w:val="24"/>
                <w:szCs w:val="24"/>
                <w:highlight w:val="none"/>
              </w:rPr>
              <w:t>）</w:t>
            </w:r>
          </w:p>
        </w:tc>
        <w:tc>
          <w:tcPr>
            <w:tcW w:w="3127" w:type="dxa"/>
            <w:vAlign w:val="top"/>
          </w:tcPr>
          <w:p>
            <w:pPr>
              <w:pageBreakBefore w:val="0"/>
              <w:kinsoku/>
              <w:wordWrap/>
              <w:overflowPunct/>
              <w:topLinePunct w:val="0"/>
              <w:autoSpaceDE/>
              <w:autoSpaceDN/>
              <w:bidi w:val="0"/>
              <w:adjustRightInd/>
              <w:snapToGrid w:val="0"/>
              <w:spacing w:line="288" w:lineRule="auto"/>
              <w:ind w:firstLine="44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 xml:space="preserve">进出口业务活动中所涉及到的信用证、发票、汇票、提单、保险单、产地证、装箱单等各种单据和证书的缮制和审核 </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p>
        </w:tc>
        <w:tc>
          <w:tcPr>
            <w:tcW w:w="4228" w:type="dxa"/>
            <w:vAlign w:val="top"/>
          </w:tcPr>
          <w:p>
            <w:pPr>
              <w:pageBreakBefore w:val="0"/>
              <w:kinsoku/>
              <w:wordWrap/>
              <w:overflowPunct/>
              <w:topLinePunct w:val="0"/>
              <w:autoSpaceDE/>
              <w:autoSpaceDN/>
              <w:bidi w:val="0"/>
              <w:adjustRightInd/>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（1）掌握进出口业务的单证办理、缮制流程和流转程序；</w:t>
            </w:r>
          </w:p>
          <w:p>
            <w:pPr>
              <w:pageBreakBefore w:val="0"/>
              <w:kinsoku/>
              <w:wordWrap/>
              <w:overflowPunct/>
              <w:topLinePunct w:val="0"/>
              <w:autoSpaceDE/>
              <w:autoSpaceDN/>
              <w:bidi w:val="0"/>
              <w:adjustRightInd/>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 xml:space="preserve">（2）掌握国际货代行业所能涉及的各种单证的含义、种类和作用； </w:t>
            </w:r>
          </w:p>
          <w:p>
            <w:pPr>
              <w:pageBreakBefore w:val="0"/>
              <w:kinsoku/>
              <w:wordWrap/>
              <w:overflowPunct/>
              <w:topLinePunct w:val="0"/>
              <w:autoSpaceDE/>
              <w:autoSpaceDN/>
              <w:bidi w:val="0"/>
              <w:adjustRightInd/>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（3）会缮制国际货代单证；</w:t>
            </w:r>
          </w:p>
          <w:p>
            <w:pPr>
              <w:pageBreakBefore w:val="0"/>
              <w:kinsoku/>
              <w:wordWrap/>
              <w:overflowPunct/>
              <w:topLinePunct w:val="0"/>
              <w:autoSpaceDE/>
              <w:autoSpaceDN/>
              <w:bidi w:val="0"/>
              <w:adjustRightInd/>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（4）能看懂信用证条款和贸易合同条款；</w:t>
            </w:r>
          </w:p>
          <w:p>
            <w:pPr>
              <w:pageBreakBefore w:val="0"/>
              <w:kinsoku/>
              <w:wordWrap/>
              <w:overflowPunct/>
              <w:topLinePunct w:val="0"/>
              <w:autoSpaceDE/>
              <w:autoSpaceDN/>
              <w:bidi w:val="0"/>
              <w:adjustRightInd/>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（5）会审核单证；</w:t>
            </w:r>
          </w:p>
          <w:p>
            <w:pPr>
              <w:pageBreakBefore w:val="0"/>
              <w:kinsoku/>
              <w:wordWrap/>
              <w:overflowPunct/>
              <w:topLinePunct w:val="0"/>
              <w:autoSpaceDE/>
              <w:autoSpaceDN/>
              <w:bidi w:val="0"/>
              <w:adjustRightInd/>
              <w:snapToGrid w:val="0"/>
              <w:spacing w:line="288" w:lineRule="auto"/>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（6）会保管单证</w:t>
            </w:r>
          </w:p>
        </w:tc>
      </w:tr>
    </w:tbl>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sz w:val="24"/>
          <w:szCs w:val="24"/>
          <w:lang w:val="en-US" w:eastAsia="zh-Hans"/>
        </w:rPr>
      </w:pPr>
      <w:r>
        <w:rPr>
          <w:rFonts w:hint="eastAsia" w:ascii="宋体" w:hAnsi="宋体" w:eastAsia="宋体" w:cs="宋体"/>
          <w:b/>
          <w:sz w:val="24"/>
          <w:szCs w:val="24"/>
          <w:lang w:val="en-US" w:eastAsia="zh-Hans"/>
        </w:rPr>
        <w:t>七</w:t>
      </w:r>
      <w:r>
        <w:rPr>
          <w:rFonts w:hint="eastAsia" w:ascii="宋体" w:hAnsi="宋体" w:eastAsia="宋体" w:cs="宋体"/>
          <w:b/>
          <w:sz w:val="24"/>
          <w:szCs w:val="24"/>
          <w:lang w:eastAsia="zh-Hans"/>
        </w:rPr>
        <w:t>、</w:t>
      </w:r>
      <w:r>
        <w:rPr>
          <w:rFonts w:hint="eastAsia" w:ascii="宋体" w:hAnsi="宋体" w:eastAsia="宋体" w:cs="宋体"/>
          <w:b/>
          <w:sz w:val="24"/>
          <w:szCs w:val="24"/>
        </w:rPr>
        <w:t>教学</w:t>
      </w:r>
      <w:r>
        <w:rPr>
          <w:rFonts w:hint="eastAsia" w:ascii="宋体" w:hAnsi="宋体" w:eastAsia="宋体" w:cs="宋体"/>
          <w:b/>
          <w:sz w:val="24"/>
          <w:szCs w:val="24"/>
          <w:lang w:val="en-US" w:eastAsia="zh-Hans"/>
        </w:rPr>
        <w:t>安排</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lang w:val="en-US" w:eastAsia="zh-Hans"/>
        </w:rPr>
      </w:pPr>
      <w:r>
        <w:rPr>
          <w:rFonts w:hint="eastAsia" w:ascii="宋体" w:hAnsi="宋体" w:eastAsia="宋体" w:cs="宋体"/>
          <w:b/>
          <w:sz w:val="24"/>
          <w:szCs w:val="24"/>
          <w:lang w:val="en-US" w:eastAsia="zh-CN"/>
        </w:rPr>
        <w:t>（一）教学时间安排</w:t>
      </w:r>
    </w:p>
    <w:tbl>
      <w:tblPr>
        <w:tblStyle w:val="11"/>
        <w:tblpPr w:leftFromText="180" w:rightFromText="180" w:vertAnchor="text" w:horzAnchor="page" w:tblpX="1876" w:tblpY="1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720"/>
        <w:gridCol w:w="3780"/>
        <w:gridCol w:w="1080"/>
        <w:gridCol w:w="1080"/>
      </w:tblGrid>
      <w:tr>
        <w:tc>
          <w:tcPr>
            <w:tcW w:w="72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学期</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学期周数</w:t>
            </w:r>
          </w:p>
        </w:tc>
        <w:tc>
          <w:tcPr>
            <w:tcW w:w="4500" w:type="dxa"/>
            <w:gridSpan w:val="2"/>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教学周数</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考试</w:t>
            </w: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周数</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机动</w:t>
            </w: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周数</w:t>
            </w:r>
          </w:p>
        </w:tc>
      </w:tr>
      <w:tr>
        <w:trPr>
          <w:trHeight w:val="257" w:hRule="atLeast"/>
        </w:trPr>
        <w:tc>
          <w:tcPr>
            <w:tcW w:w="72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p>
        </w:tc>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10"/>
                <w:position w:val="2"/>
                <w:sz w:val="24"/>
                <w:szCs w:val="24"/>
              </w:rPr>
            </w:pPr>
            <w:r>
              <w:rPr>
                <w:rFonts w:hint="eastAsia" w:ascii="宋体" w:hAnsi="宋体" w:eastAsia="宋体" w:cs="宋体"/>
                <w:b/>
                <w:kern w:val="10"/>
                <w:position w:val="2"/>
                <w:sz w:val="24"/>
                <w:szCs w:val="24"/>
              </w:rPr>
              <w:t>周数</w:t>
            </w:r>
          </w:p>
        </w:tc>
        <w:tc>
          <w:tcPr>
            <w:tcW w:w="37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sz w:val="24"/>
                <w:szCs w:val="24"/>
              </w:rPr>
            </w:pPr>
            <w:r>
              <w:rPr>
                <w:rFonts w:hint="eastAsia" w:ascii="宋体" w:hAnsi="宋体" w:eastAsia="宋体" w:cs="宋体"/>
                <w:b/>
                <w:kern w:val="10"/>
                <w:position w:val="2"/>
                <w:sz w:val="24"/>
                <w:szCs w:val="24"/>
              </w:rPr>
              <w:t>其中：综合的实践教学及教育活动周数</w:t>
            </w: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72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一</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20</w:t>
            </w:r>
          </w:p>
        </w:tc>
        <w:tc>
          <w:tcPr>
            <w:tcW w:w="72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18</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1（军训）</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72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p>
        </w:tc>
        <w:tc>
          <w:tcPr>
            <w:tcW w:w="72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1（入学教育）</w:t>
            </w: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二</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20</w:t>
            </w:r>
          </w:p>
        </w:tc>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18</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1（物流设施与设备实训）</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20</w:t>
            </w:r>
          </w:p>
        </w:tc>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18</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r>
              <w:rPr>
                <w:rFonts w:hint="eastAsia" w:ascii="宋体" w:hAnsi="宋体" w:eastAsia="宋体" w:cs="宋体"/>
                <w:kern w:val="10"/>
                <w:position w:val="2"/>
                <w:sz w:val="24"/>
                <w:szCs w:val="24"/>
                <w:highlight w:val="none"/>
                <w:lang w:val="en-US" w:eastAsia="zh-CN"/>
              </w:rPr>
              <w:t>报关实务实训</w:t>
            </w:r>
            <w:r>
              <w:rPr>
                <w:rFonts w:hint="eastAsia" w:ascii="宋体" w:hAnsi="宋体" w:eastAsia="宋体" w:cs="宋体"/>
                <w:kern w:val="10"/>
                <w:position w:val="2"/>
                <w:sz w:val="24"/>
                <w:szCs w:val="24"/>
                <w:highlight w:val="none"/>
              </w:rPr>
              <w:t>)</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p>
        </w:tc>
      </w:tr>
      <w:tr>
        <w:trPr>
          <w:trHeight w:val="471" w:hRule="atLeast"/>
        </w:trPr>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20</w:t>
            </w:r>
          </w:p>
        </w:tc>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18</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r>
              <w:rPr>
                <w:rFonts w:hint="eastAsia" w:ascii="宋体" w:hAnsi="宋体" w:eastAsia="宋体" w:cs="宋体"/>
                <w:kern w:val="10"/>
                <w:position w:val="2"/>
                <w:sz w:val="24"/>
                <w:szCs w:val="24"/>
                <w:highlight w:val="none"/>
                <w:lang w:val="en-US" w:eastAsia="zh-CN"/>
              </w:rPr>
              <w:t>国际单证实务</w:t>
            </w:r>
            <w:r>
              <w:rPr>
                <w:rFonts w:hint="eastAsia" w:ascii="宋体" w:hAnsi="宋体" w:eastAsia="宋体" w:cs="宋体"/>
                <w:kern w:val="10"/>
                <w:position w:val="2"/>
                <w:sz w:val="24"/>
                <w:szCs w:val="24"/>
                <w:highlight w:val="none"/>
              </w:rPr>
              <w:t>）</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p>
        </w:tc>
      </w:tr>
      <w:tr>
        <w:trPr>
          <w:trHeight w:val="449" w:hRule="atLeast"/>
        </w:trPr>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五</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20</w:t>
            </w:r>
          </w:p>
        </w:tc>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18</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国际货代实训</w:t>
            </w:r>
            <w:r>
              <w:rPr>
                <w:rFonts w:hint="eastAsia" w:ascii="宋体" w:hAnsi="宋体" w:eastAsia="宋体" w:cs="宋体"/>
                <w:sz w:val="24"/>
                <w:szCs w:val="24"/>
                <w:highlight w:val="none"/>
              </w:rPr>
              <w:t>）</w:t>
            </w:r>
          </w:p>
          <w:p>
            <w:pPr>
              <w:pageBreakBefore w:val="0"/>
              <w:kinsoku/>
              <w:wordWrap/>
              <w:overflowPunct/>
              <w:topLinePunct w:val="0"/>
              <w:autoSpaceDE/>
              <w:autoSpaceDN/>
              <w:bidi w:val="0"/>
              <w:adjustRightInd/>
              <w:snapToGrid w:val="0"/>
              <w:spacing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val="0"/>
                <w:iCs w:val="0"/>
                <w:color w:val="000000"/>
                <w:kern w:val="0"/>
                <w:sz w:val="24"/>
                <w:szCs w:val="24"/>
                <w:highlight w:val="none"/>
                <w:u w:val="none"/>
                <w:lang w:val="en-US" w:eastAsia="zh-CN" w:bidi="ar"/>
              </w:rPr>
              <w:t>仓储与配送实训</w:t>
            </w:r>
            <w:r>
              <w:rPr>
                <w:rFonts w:hint="eastAsia" w:ascii="宋体" w:hAnsi="宋体" w:eastAsia="宋体" w:cs="宋体"/>
                <w:sz w:val="24"/>
                <w:szCs w:val="24"/>
                <w:highlight w:val="none"/>
                <w:lang w:val="en-US" w:eastAsia="zh-CN"/>
              </w:rPr>
              <w:t>）</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p>
        </w:tc>
      </w:tr>
      <w:tr>
        <w:tc>
          <w:tcPr>
            <w:tcW w:w="72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六</w:t>
            </w:r>
          </w:p>
        </w:tc>
        <w:tc>
          <w:tcPr>
            <w:tcW w:w="108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20</w:t>
            </w:r>
          </w:p>
        </w:tc>
        <w:tc>
          <w:tcPr>
            <w:tcW w:w="720" w:type="dxa"/>
            <w:vMerge w:val="restart"/>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20</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1</w:t>
            </w:r>
            <w:r>
              <w:rPr>
                <w:rFonts w:hint="eastAsia" w:ascii="宋体" w:hAnsi="宋体" w:eastAsia="宋体" w:cs="宋体"/>
                <w:kern w:val="10"/>
                <w:position w:val="2"/>
                <w:sz w:val="24"/>
                <w:szCs w:val="24"/>
                <w:highlight w:val="none"/>
                <w:lang w:val="en-US" w:eastAsia="zh-CN"/>
              </w:rPr>
              <w:t>8</w:t>
            </w:r>
            <w:r>
              <w:rPr>
                <w:rFonts w:hint="eastAsia" w:ascii="宋体" w:hAnsi="宋体" w:eastAsia="宋体" w:cs="宋体"/>
                <w:kern w:val="10"/>
                <w:position w:val="2"/>
                <w:sz w:val="24"/>
                <w:szCs w:val="24"/>
                <w:highlight w:val="none"/>
              </w:rPr>
              <w:t>(顶岗实习)</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w:t>
            </w:r>
          </w:p>
        </w:tc>
      </w:tr>
      <w:tr>
        <w:tc>
          <w:tcPr>
            <w:tcW w:w="72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highlight w:val="none"/>
              </w:rPr>
            </w:pPr>
          </w:p>
        </w:tc>
        <w:tc>
          <w:tcPr>
            <w:tcW w:w="108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p>
        </w:tc>
        <w:tc>
          <w:tcPr>
            <w:tcW w:w="720" w:type="dxa"/>
            <w:vMerge w:val="continue"/>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lang w:val="en-US" w:eastAsia="zh-CN"/>
              </w:rPr>
              <w:t>2</w:t>
            </w:r>
            <w:r>
              <w:rPr>
                <w:rFonts w:hint="eastAsia" w:ascii="宋体" w:hAnsi="宋体" w:eastAsia="宋体" w:cs="宋体"/>
                <w:kern w:val="10"/>
                <w:position w:val="2"/>
                <w:sz w:val="24"/>
                <w:szCs w:val="24"/>
                <w:highlight w:val="none"/>
              </w:rPr>
              <w:t>(</w:t>
            </w:r>
            <w:r>
              <w:rPr>
                <w:rFonts w:hint="eastAsia" w:ascii="宋体" w:hAnsi="宋体" w:eastAsia="宋体" w:cs="宋体"/>
                <w:kern w:val="10"/>
                <w:position w:val="2"/>
                <w:sz w:val="24"/>
                <w:szCs w:val="24"/>
                <w:highlight w:val="none"/>
                <w:lang w:val="en-US" w:eastAsia="zh-CN"/>
              </w:rPr>
              <w:t>毕业考核、</w:t>
            </w:r>
            <w:r>
              <w:rPr>
                <w:rFonts w:hint="eastAsia" w:ascii="宋体" w:hAnsi="宋体" w:eastAsia="宋体" w:cs="宋体"/>
                <w:kern w:val="10"/>
                <w:position w:val="2"/>
                <w:sz w:val="24"/>
                <w:szCs w:val="24"/>
                <w:highlight w:val="none"/>
              </w:rPr>
              <w:t>毕业教育)</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highlight w:val="none"/>
              </w:rPr>
            </w:pPr>
            <w:r>
              <w:rPr>
                <w:rFonts w:hint="eastAsia" w:ascii="宋体" w:hAnsi="宋体" w:eastAsia="宋体" w:cs="宋体"/>
                <w:kern w:val="10"/>
                <w:position w:val="2"/>
                <w:sz w:val="24"/>
                <w:szCs w:val="24"/>
                <w:highlight w:val="none"/>
              </w:rPr>
              <w:t>—</w:t>
            </w:r>
          </w:p>
        </w:tc>
      </w:tr>
      <w:tr>
        <w:trPr>
          <w:trHeight w:val="499" w:hRule="atLeast"/>
        </w:trPr>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总计</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120</w:t>
            </w:r>
          </w:p>
        </w:tc>
        <w:tc>
          <w:tcPr>
            <w:tcW w:w="72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110</w:t>
            </w:r>
          </w:p>
        </w:tc>
        <w:tc>
          <w:tcPr>
            <w:tcW w:w="3780" w:type="dxa"/>
            <w:vAlign w:val="center"/>
          </w:tcPr>
          <w:p>
            <w:pPr>
              <w:pageBreakBefore w:val="0"/>
              <w:kinsoku/>
              <w:wordWrap/>
              <w:overflowPunct/>
              <w:topLinePunct w:val="0"/>
              <w:autoSpaceDE/>
              <w:autoSpaceDN/>
              <w:bidi w:val="0"/>
              <w:adjustRightInd/>
              <w:snapToGrid w:val="0"/>
              <w:spacing w:line="288" w:lineRule="auto"/>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27</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5</w:t>
            </w:r>
          </w:p>
        </w:tc>
        <w:tc>
          <w:tcPr>
            <w:tcW w:w="1080" w:type="dxa"/>
            <w:vAlign w:val="center"/>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kern w:val="10"/>
                <w:position w:val="2"/>
                <w:sz w:val="24"/>
                <w:szCs w:val="24"/>
              </w:rPr>
            </w:pPr>
            <w:r>
              <w:rPr>
                <w:rFonts w:hint="eastAsia" w:ascii="宋体" w:hAnsi="宋体" w:eastAsia="宋体" w:cs="宋体"/>
                <w:kern w:val="10"/>
                <w:position w:val="2"/>
                <w:sz w:val="24"/>
                <w:szCs w:val="24"/>
              </w:rPr>
              <w:t>5</w:t>
            </w: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sz w:val="24"/>
          <w:szCs w:val="24"/>
          <w:lang w:eastAsia="zh-Hans"/>
        </w:rPr>
      </w:pPr>
      <w:r>
        <w:rPr>
          <w:rFonts w:hint="eastAsia" w:ascii="宋体" w:hAnsi="宋体" w:eastAsia="宋体" w:cs="宋体"/>
          <w:b/>
          <w:sz w:val="24"/>
          <w:szCs w:val="24"/>
          <w:lang w:val="en-US" w:eastAsia="zh-CN"/>
        </w:rPr>
        <w:t>（</w:t>
      </w:r>
      <w:r>
        <w:rPr>
          <w:rFonts w:hint="eastAsia" w:ascii="宋体" w:hAnsi="宋体" w:eastAsia="宋体" w:cs="宋体"/>
          <w:b/>
          <w:sz w:val="24"/>
          <w:szCs w:val="24"/>
          <w:lang w:val="en-US" w:eastAsia="zh-Hans"/>
        </w:rPr>
        <w:t>二</w:t>
      </w:r>
      <w:r>
        <w:rPr>
          <w:rFonts w:hint="eastAsia" w:ascii="宋体" w:hAnsi="宋体" w:eastAsia="宋体" w:cs="宋体"/>
          <w:b/>
          <w:sz w:val="24"/>
          <w:szCs w:val="24"/>
          <w:lang w:val="en-US" w:eastAsia="zh-CN"/>
        </w:rPr>
        <w:t>）教学</w:t>
      </w:r>
      <w:r>
        <w:rPr>
          <w:rFonts w:hint="eastAsia" w:ascii="宋体" w:hAnsi="宋体" w:eastAsia="宋体" w:cs="宋体"/>
          <w:b/>
          <w:sz w:val="24"/>
          <w:szCs w:val="24"/>
          <w:lang w:val="en-US" w:eastAsia="zh-Hans"/>
        </w:rPr>
        <w:t>进程安排</w:t>
      </w:r>
      <w:r>
        <w:rPr>
          <w:rFonts w:hint="eastAsia" w:ascii="宋体" w:hAnsi="宋体" w:eastAsia="宋体" w:cs="宋体"/>
          <w:b/>
          <w:sz w:val="24"/>
          <w:szCs w:val="24"/>
          <w:lang w:eastAsia="zh-Hans"/>
        </w:rPr>
        <w:t>（</w:t>
      </w:r>
      <w:r>
        <w:rPr>
          <w:rFonts w:hint="eastAsia" w:ascii="宋体" w:hAnsi="宋体" w:eastAsia="宋体" w:cs="宋体"/>
          <w:b/>
          <w:sz w:val="24"/>
          <w:szCs w:val="24"/>
          <w:lang w:val="en-US" w:eastAsia="zh-Hans"/>
        </w:rPr>
        <w:t>附件</w:t>
      </w:r>
      <w:r>
        <w:rPr>
          <w:rFonts w:hint="eastAsia" w:ascii="宋体" w:hAnsi="宋体" w:eastAsia="宋体" w:cs="宋体"/>
          <w:b/>
          <w:sz w:val="24"/>
          <w:szCs w:val="24"/>
          <w:lang w:eastAsia="zh-Hans"/>
        </w:rPr>
        <w:t>2）</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八、</w:t>
      </w:r>
      <w:r>
        <w:rPr>
          <w:rFonts w:hint="eastAsia" w:ascii="宋体" w:hAnsi="宋体" w:eastAsia="宋体" w:cs="宋体"/>
          <w:b/>
          <w:sz w:val="24"/>
          <w:szCs w:val="24"/>
          <w:lang w:val="en-US" w:eastAsia="zh-CN"/>
        </w:rPr>
        <w:t>实施保障</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师资条件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1.师德师风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争做“四有”好老师。</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带头人具备高级讲师及以上职称和较高的职业技能等级证书，拥有行业的专业视野和实践经验，具有专业前沿知识和先进教育理念，教学水平高、教学管理强，在本区域或本专业领域具有一定的影响力。能广泛联系行业企业，较好地把握行业、专业发展态势，了解行业企业对本专业人才的实际需求，潜心课程教学改革，有力推进专业建设、课程建设、校企合作、实训基地建设，提高人才培养质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共基础课程学科带头人和专业（技能）课程负责人在该专业的课程教学、教育科研、课程开发等方面起到引领作用。关注学科（课程）改革和发展状况，熟悉本学科（课程）的课程标准、教学任务、主要教学内容及要求。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任教师具有中等职业学校教师资格证书和与任教学科相符的专业背景，熟悉教育教学规律，对任教课程有较为全面的理解和教学胜任能力；具有一定的教学设计能力、信息化教学能力，能激发学生兴趣，高质量地完成日常教学任务；积极开展课程教学改革和实施，具备一定的课程开发能力。专业专任教师还具有相关职业资格证书或职业技能等级证书，充分了解发展动态，熟悉各项目操作，能定期下行业参加培训，更好地开展理实一体教学；定期走访</w:t>
      </w:r>
      <w:r>
        <w:rPr>
          <w:rFonts w:hint="eastAsia" w:ascii="宋体" w:hAnsi="宋体" w:cs="宋体"/>
          <w:sz w:val="24"/>
          <w:szCs w:val="24"/>
          <w:lang w:eastAsia="zh-CN"/>
        </w:rPr>
        <w:t>国际货运代理相关</w:t>
      </w:r>
      <w:r>
        <w:rPr>
          <w:rFonts w:hint="eastAsia" w:ascii="宋体" w:hAnsi="宋体" w:eastAsia="宋体" w:cs="宋体"/>
          <w:sz w:val="24"/>
          <w:szCs w:val="24"/>
        </w:rPr>
        <w:t>企业，关心实习生实习和毕业生工作情况。</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（4）“双师型”教师取得国家或省相关规定的职业资格或非教师系列的专业技术职称，或与</w:t>
      </w:r>
      <w:r>
        <w:rPr>
          <w:rFonts w:hint="eastAsia" w:ascii="宋体" w:hAnsi="宋体" w:cs="宋体"/>
          <w:sz w:val="24"/>
          <w:szCs w:val="24"/>
          <w:lang w:eastAsia="zh-CN"/>
        </w:rPr>
        <w:t>国际货运代理</w:t>
      </w:r>
      <w:r>
        <w:rPr>
          <w:rFonts w:hint="eastAsia" w:ascii="宋体" w:hAnsi="宋体" w:eastAsia="宋体" w:cs="宋体"/>
          <w:sz w:val="24"/>
          <w:szCs w:val="24"/>
        </w:rPr>
        <w:t>专业有关的中、高级职业技能等级证书或职业资格证书。兼职教师须经过教学能力专项培训，并取得合格证书。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3.团队建设</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任专业教师与在籍学生的师生比，本科学历、研究生学历、高级职称的比例，专任专业教师高级以上职业技能等级证书或非教师系列专业技术中级以上职称的比例，兼职教师的比例及相关要求，符合国家、省关于中等职业学校设置和专业建设的相关标准要求和具体规定。专任专业教师中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（二）教学设施</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1.专业教室</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业教室符合国家、省关于中等职业学校设置和本专业建设的相关标准要求和具体规定，配备符合要求的安全应急装置和通道；建有智能化教学支持环境，配备计算机、投影仪、视频展示台、投影屏幕、音响设备等多媒体教学器材，满足信息化教学的必备条件；具有体现行业特征、专业特点、职业精神的文化布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实训</w:t>
      </w:r>
      <w:r>
        <w:rPr>
          <w:rFonts w:hint="eastAsia" w:ascii="宋体" w:hAnsi="宋体" w:eastAsia="宋体" w:cs="宋体"/>
          <w:b w:val="0"/>
          <w:bCs w:val="0"/>
          <w:sz w:val="24"/>
          <w:szCs w:val="24"/>
          <w:lang w:val="en-US" w:eastAsia="zh-CN"/>
        </w:rPr>
        <w:t>实习</w:t>
      </w:r>
      <w:r>
        <w:rPr>
          <w:rFonts w:hint="eastAsia" w:ascii="宋体" w:hAnsi="宋体" w:eastAsia="宋体" w:cs="宋体"/>
          <w:b w:val="0"/>
          <w:bCs w:val="0"/>
          <w:sz w:val="24"/>
          <w:szCs w:val="24"/>
        </w:rPr>
        <w:t>基本条件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根据本专业人才培养目标的要求及课程设置的需要，按每班35名学生为基准，校内实训（实验）教学功能室配置如下：</w:t>
      </w:r>
    </w:p>
    <w:tbl>
      <w:tblPr>
        <w:tblStyle w:val="11"/>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929"/>
        <w:gridCol w:w="144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教学功能室</w:t>
            </w: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主要设备名称</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数量（台/套）</w:t>
            </w:r>
          </w:p>
        </w:tc>
        <w:tc>
          <w:tcPr>
            <w:tcW w:w="39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rPr>
            </w:pPr>
            <w:r>
              <w:rPr>
                <w:rFonts w:hint="eastAsia" w:ascii="宋体" w:hAnsi="宋体" w:eastAsia="宋体" w:cs="宋体"/>
                <w:b/>
                <w:sz w:val="24"/>
                <w:szCs w:val="24"/>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jc w:val="center"/>
        </w:trPr>
        <w:tc>
          <w:tcPr>
            <w:tcW w:w="1529" w:type="dxa"/>
            <w:vMerge w:val="restart"/>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国际货代实训</w:t>
            </w:r>
          </w:p>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1.操作台桌椅</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2.计算机</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3.国际货代实务教学软件</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4.报关实务教学软件</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5.外贸单据证教学软件</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6.不间断电源</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至少支持服务器45分钟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7.交换机及网络</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8.配线架</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9.机柜</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尺寸：600×800×1800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10.打印机</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A4幅面激光打印机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11.多媒体教学设备</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12.服务台</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13.实训岗位标识牌</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14.实训区域指示牌（报检报关）</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15.港口实训沙盘</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529"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b/>
                <w:sz w:val="24"/>
                <w:szCs w:val="24"/>
              </w:rPr>
            </w:pPr>
          </w:p>
        </w:tc>
        <w:tc>
          <w:tcPr>
            <w:tcW w:w="1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rPr>
                <w:rFonts w:hint="eastAsia" w:ascii="宋体" w:hAnsi="宋体" w:eastAsia="宋体" w:cs="宋体"/>
                <w:sz w:val="24"/>
                <w:szCs w:val="24"/>
              </w:rPr>
            </w:pPr>
            <w:r>
              <w:rPr>
                <w:rFonts w:hint="eastAsia" w:ascii="宋体" w:hAnsi="宋体" w:eastAsia="宋体" w:cs="宋体"/>
                <w:sz w:val="24"/>
                <w:szCs w:val="24"/>
              </w:rPr>
              <w:t>16.国际货代数字化三维3D仿真实训平台</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288" w:lineRule="auto"/>
              <w:jc w:val="center"/>
              <w:rPr>
                <w:rFonts w:hint="eastAsia" w:ascii="宋体" w:hAnsi="宋体" w:eastAsia="宋体" w:cs="宋体"/>
                <w:sz w:val="24"/>
                <w:szCs w:val="24"/>
              </w:rPr>
            </w:pPr>
            <w:r>
              <w:rPr>
                <w:rFonts w:hint="eastAsia" w:ascii="宋体" w:hAnsi="宋体" w:eastAsia="宋体" w:cs="宋体"/>
                <w:kern w:val="10"/>
                <w:position w:val="2"/>
                <w:sz w:val="24"/>
                <w:szCs w:val="24"/>
              </w:rPr>
              <w:t>—</w:t>
            </w:r>
          </w:p>
        </w:tc>
      </w:tr>
    </w:tbl>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（三）教学资源</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1.教材</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教材原则上从国家推荐教材目录和《江苏省中等职业教育主干专业核心课程推荐教材目录》中遴选。专业教材要能体现国际货运代理发展的新技术、新工艺、新规范，发挥专业教师、行业专家等作用，规范专业教材遴选程序，禁止不合格的教材进入课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2.图书文献资料</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按照国家和省中等职业学校设置和专业建设的相关标准要求和具体规定，配备行业政策法规、职业标准、技术手册、实务案例及专业期刊等图书文献；有规范的国际货运代理专业教学计划、课程标准、教学标准、实践教学任务书等完备的教学文件。</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3.数字资源</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充分利用智慧职教平台有关国际货运代理专业国家教学资源库中相关数字化资源，在实训教学场所建设1个及以上的国际货运代理专业虚拟仿真实训室，建有与实训内容相配套的信息化教学资源，能够组织开展信息化实训教学活动。建设并配备与本专业有关的音视频素材、教学课件、数字化教学案例、虚拟仿真软件、数字教材等数字资源，能满足教学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九、质量管理</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（一）公共基础课程实施性教学要求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1.学分计算办法：公共基础课程每18学时计1学分；军训1周为1学分。</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落实立德树人根本任务，注重学生正确价值观、必备品格和关键能力的培养，主动对接经济社会发展需求，坚持面向市场、服务发展、促进就业的办学方向，确定本校本专业培养目标、人才培养规格、课程设置和教学内容。</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贯彻教育部《中等职业学校公共基础课程方案》，开足开好公共基础必修课程。依据教育部《中等职业学校专业教学标准》，教育部中等职业学校公共基础课课程标准、江苏省中等职业学校公共基础有关课程的教学要求制定课程实施性教学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4.有机融入思想政治教育元素，紧密联系</w:t>
      </w:r>
      <w:r>
        <w:rPr>
          <w:rFonts w:hint="eastAsia" w:ascii="宋体" w:hAnsi="宋体" w:cs="宋体"/>
          <w:b w:val="0"/>
          <w:bCs/>
          <w:color w:val="auto"/>
          <w:sz w:val="24"/>
          <w:szCs w:val="24"/>
          <w:lang w:val="en-US" w:eastAsia="zh-CN"/>
        </w:rPr>
        <w:t>国际货运代理</w:t>
      </w:r>
      <w:r>
        <w:rPr>
          <w:rFonts w:hint="eastAsia" w:ascii="宋体" w:hAnsi="宋体" w:eastAsia="宋体" w:cs="宋体"/>
          <w:b w:val="0"/>
          <w:bCs/>
          <w:color w:val="auto"/>
          <w:sz w:val="24"/>
          <w:szCs w:val="24"/>
          <w:lang w:val="en-US" w:eastAsia="zh-CN"/>
        </w:rPr>
        <w:t>专业发展实际和行业发展要求，推进专业与产业对接、课程内容与职业标准对接、教学过程与生产过程对接，合理确定课程教学目标，科学选择教学内容，明确考核要求，着力转变教学方式、优化教学过程，有力支撑</w:t>
      </w:r>
      <w:r>
        <w:rPr>
          <w:rFonts w:hint="eastAsia" w:ascii="宋体" w:hAnsi="宋体" w:cs="宋体"/>
          <w:b w:val="0"/>
          <w:bCs/>
          <w:color w:val="auto"/>
          <w:sz w:val="24"/>
          <w:szCs w:val="24"/>
          <w:lang w:val="en-US" w:eastAsia="zh-CN"/>
        </w:rPr>
        <w:t>本</w:t>
      </w:r>
      <w:r>
        <w:rPr>
          <w:rFonts w:hint="eastAsia" w:ascii="宋体" w:hAnsi="宋体" w:eastAsia="宋体" w:cs="宋体"/>
          <w:b w:val="0"/>
          <w:bCs/>
          <w:color w:val="auto"/>
          <w:sz w:val="24"/>
          <w:szCs w:val="24"/>
          <w:lang w:val="en-US" w:eastAsia="zh-CN"/>
        </w:rPr>
        <w:t xml:space="preserve">专业人才培养目标的实现。 </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（二）专业（技能）主干课程实施性教学要求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学分计算办法：专业（技能）课程18学时计1学分；社会实践、入学教育、毕业教育等活动，1周为1学分；专业实践教学周每周按30学时计算，1周计2学分；顶岗实习1周计1.5学分。</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（1）专业课程设置清晰，符合职业岗位需求。本方案依据</w:t>
      </w:r>
      <w:r>
        <w:rPr>
          <w:rFonts w:hint="eastAsia" w:ascii="宋体" w:hAnsi="宋体" w:cs="宋体"/>
          <w:b w:val="0"/>
          <w:bCs/>
          <w:color w:val="auto"/>
          <w:sz w:val="24"/>
          <w:szCs w:val="24"/>
          <w:lang w:val="en-US" w:eastAsia="zh-CN"/>
        </w:rPr>
        <w:t>国际</w:t>
      </w:r>
      <w:r>
        <w:rPr>
          <w:rFonts w:hint="eastAsia" w:ascii="宋体" w:hAnsi="宋体" w:eastAsia="宋体" w:cs="宋体"/>
          <w:b w:val="0"/>
          <w:bCs/>
          <w:color w:val="auto"/>
          <w:sz w:val="24"/>
          <w:szCs w:val="24"/>
          <w:lang w:val="en-US" w:eastAsia="zh-CN"/>
        </w:rPr>
        <w:t>货运代理岗位需求，通过对</w:t>
      </w:r>
      <w:r>
        <w:rPr>
          <w:rFonts w:hint="eastAsia" w:ascii="宋体" w:hAnsi="宋体" w:cs="宋体"/>
          <w:b w:val="0"/>
          <w:bCs/>
          <w:color w:val="auto"/>
          <w:sz w:val="24"/>
          <w:szCs w:val="24"/>
          <w:lang w:val="en-US" w:eastAsia="zh-CN"/>
        </w:rPr>
        <w:t>国际</w:t>
      </w:r>
      <w:r>
        <w:rPr>
          <w:rFonts w:hint="eastAsia" w:ascii="宋体" w:hAnsi="宋体" w:eastAsia="宋体" w:cs="宋体"/>
          <w:b w:val="0"/>
          <w:bCs/>
          <w:color w:val="auto"/>
          <w:sz w:val="24"/>
          <w:szCs w:val="24"/>
          <w:lang w:val="en-US" w:eastAsia="zh-CN"/>
        </w:rPr>
        <w:t>货运代理职业能力分析来构建课程体系，开设《货物认知与养护》、《物流基础》、《运输实务》等专业课程，保证学生能够掌握从事本专业领域实际工作的知识和技能。</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大赛融入专业课程，贯彻教学改革理念。本方案结合全国职业学校技能大赛中现代物流综合作业项目中职组比赛内容，将技能大赛的要求融入到专业课程中，并全面贯彻江苏省职业教育教学改革理念。如针对现代物流综合作业项目开设《仓储与配送实训》等课程。</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（三）教学管理与教学改革</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1.强化基础条件。持续做好师资队伍、专业教室、实训场地、教学资源等基础建设，统筹提高教学硬件与软件建设水平，为保障人才培养质量创造良好的育人环境。</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十、毕业要求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学分要求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毕业学分为</w:t>
      </w:r>
      <w:r>
        <w:rPr>
          <w:rFonts w:hint="eastAsia" w:ascii="宋体" w:hAnsi="宋体" w:eastAsia="宋体" w:cs="宋体"/>
          <w:b w:val="0"/>
          <w:bCs/>
          <w:sz w:val="24"/>
          <w:szCs w:val="24"/>
          <w:highlight w:val="none"/>
          <w:lang w:val="en-US" w:eastAsia="zh-CN"/>
        </w:rPr>
        <w:t>175</w:t>
      </w:r>
      <w:r>
        <w:rPr>
          <w:rFonts w:hint="eastAsia" w:ascii="宋体" w:hAnsi="宋体" w:eastAsia="宋体" w:cs="宋体"/>
          <w:b w:val="0"/>
          <w:bCs/>
          <w:sz w:val="24"/>
          <w:szCs w:val="24"/>
        </w:rPr>
        <w:t>学分。</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证书要求</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职业技能证书：（1）全国计算机等级考试一级证书</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（2）国际商务单证员、物流员、国际货运代理员、报检员等</w:t>
      </w:r>
      <w:r>
        <w:rPr>
          <w:rFonts w:hint="eastAsia" w:ascii="宋体" w:hAnsi="宋体" w:eastAsia="宋体" w:cs="宋体"/>
          <w:color w:val="auto"/>
          <w:kern w:val="0"/>
          <w:sz w:val="24"/>
          <w:szCs w:val="24"/>
        </w:rPr>
        <w:t>职业资格</w:t>
      </w:r>
      <w:r>
        <w:rPr>
          <w:rFonts w:hint="eastAsia" w:ascii="宋体" w:hAnsi="宋体" w:eastAsia="宋体" w:cs="宋体"/>
          <w:b w:val="0"/>
          <w:bCs/>
          <w:sz w:val="24"/>
          <w:szCs w:val="24"/>
        </w:rPr>
        <w:t>证书</w:t>
      </w:r>
      <w:r>
        <w:rPr>
          <w:rFonts w:hint="eastAsia" w:ascii="宋体" w:hAnsi="宋体" w:eastAsia="宋体" w:cs="宋体"/>
          <w:b w:val="0"/>
          <w:bCs/>
          <w:sz w:val="24"/>
          <w:szCs w:val="24"/>
          <w:lang w:val="en-US" w:eastAsia="zh-CN"/>
        </w:rPr>
        <w:t>之一</w:t>
      </w:r>
      <w:r>
        <w:rPr>
          <w:rFonts w:hint="eastAsia" w:ascii="宋体" w:hAnsi="宋体" w:eastAsia="宋体" w:cs="宋体"/>
          <w:b w:val="0"/>
          <w:bCs/>
          <w:sz w:val="24"/>
          <w:szCs w:val="24"/>
        </w:rPr>
        <w:t>。</w:t>
      </w:r>
    </w:p>
    <w:tbl>
      <w:tblPr>
        <w:tblStyle w:val="11"/>
        <w:tblW w:w="0" w:type="auto"/>
        <w:jc w:val="center"/>
        <w:tblLayout w:type="fixed"/>
        <w:tblCellMar>
          <w:top w:w="0" w:type="dxa"/>
          <w:left w:w="0" w:type="dxa"/>
          <w:bottom w:w="0" w:type="dxa"/>
          <w:right w:w="0" w:type="dxa"/>
        </w:tblCellMar>
      </w:tblPr>
      <w:tblGrid>
        <w:gridCol w:w="1034"/>
        <w:gridCol w:w="1913"/>
        <w:gridCol w:w="1223"/>
        <w:gridCol w:w="912"/>
        <w:gridCol w:w="2002"/>
        <w:gridCol w:w="1330"/>
      </w:tblGrid>
      <w:tr>
        <w:trPr>
          <w:trHeight w:val="567" w:hRule="atLeast"/>
          <w:jc w:val="center"/>
        </w:trPr>
        <w:tc>
          <w:tcPr>
            <w:tcW w:w="2947"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考证项目</w:t>
            </w:r>
          </w:p>
        </w:tc>
        <w:tc>
          <w:tcPr>
            <w:tcW w:w="122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考证时间</w:t>
            </w:r>
          </w:p>
        </w:tc>
        <w:tc>
          <w:tcPr>
            <w:tcW w:w="91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等级</w:t>
            </w:r>
          </w:p>
        </w:tc>
        <w:tc>
          <w:tcPr>
            <w:tcW w:w="200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发证机关</w:t>
            </w:r>
          </w:p>
        </w:tc>
        <w:tc>
          <w:tcPr>
            <w:tcW w:w="133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备注</w:t>
            </w:r>
          </w:p>
        </w:tc>
      </w:tr>
      <w:tr>
        <w:trPr>
          <w:trHeight w:val="567" w:hRule="atLeast"/>
          <w:jc w:val="center"/>
        </w:trPr>
        <w:tc>
          <w:tcPr>
            <w:tcW w:w="1034" w:type="dxa"/>
            <w:vMerge w:val="restart"/>
            <w:tcBorders>
              <w:top w:val="nil"/>
              <w:left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计算机证书</w:t>
            </w:r>
          </w:p>
        </w:tc>
        <w:tc>
          <w:tcPr>
            <w:tcW w:w="191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全国计算机信息高新技术考试</w:t>
            </w:r>
          </w:p>
        </w:tc>
        <w:tc>
          <w:tcPr>
            <w:tcW w:w="122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每年6月份与12月份</w:t>
            </w:r>
          </w:p>
        </w:tc>
        <w:tc>
          <w:tcPr>
            <w:tcW w:w="91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人力资源和社会保障部职业技能鉴定中心</w:t>
            </w:r>
          </w:p>
        </w:tc>
        <w:tc>
          <w:tcPr>
            <w:tcW w:w="13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选一</w:t>
            </w:r>
          </w:p>
        </w:tc>
      </w:tr>
      <w:tr>
        <w:trPr>
          <w:trHeight w:val="567" w:hRule="atLeast"/>
          <w:jc w:val="center"/>
        </w:trPr>
        <w:tc>
          <w:tcPr>
            <w:tcW w:w="1034" w:type="dxa"/>
            <w:vMerge w:val="continue"/>
            <w:tcBorders>
              <w:top w:val="nil"/>
              <w:left w:val="single" w:color="000000" w:sz="8" w:space="0"/>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p>
        </w:tc>
        <w:tc>
          <w:tcPr>
            <w:tcW w:w="191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全国信息化应用能力考试</w:t>
            </w:r>
          </w:p>
        </w:tc>
        <w:tc>
          <w:tcPr>
            <w:tcW w:w="122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每年3月份与9月份</w:t>
            </w:r>
          </w:p>
        </w:tc>
        <w:tc>
          <w:tcPr>
            <w:tcW w:w="91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工业和信息化部人才交流中心</w:t>
            </w:r>
          </w:p>
        </w:tc>
        <w:tc>
          <w:tcPr>
            <w:tcW w:w="1330" w:type="dxa"/>
            <w:vMerge w:val="continue"/>
            <w:tcBorders>
              <w:top w:val="nil"/>
              <w:left w:val="nil"/>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r>
      <w:tr>
        <w:trPr>
          <w:trHeight w:val="567" w:hRule="atLeast"/>
          <w:jc w:val="center"/>
        </w:trPr>
        <w:tc>
          <w:tcPr>
            <w:tcW w:w="1034"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职业资格证书</w:t>
            </w:r>
          </w:p>
        </w:tc>
        <w:tc>
          <w:tcPr>
            <w:tcW w:w="191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国际商务单证员</w:t>
            </w:r>
          </w:p>
        </w:tc>
        <w:tc>
          <w:tcPr>
            <w:tcW w:w="122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每年6月份</w:t>
            </w:r>
          </w:p>
        </w:tc>
        <w:tc>
          <w:tcPr>
            <w:tcW w:w="91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p>
        </w:tc>
        <w:tc>
          <w:tcPr>
            <w:tcW w:w="20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商务部中国外经贸企业协会</w:t>
            </w:r>
          </w:p>
        </w:tc>
        <w:tc>
          <w:tcPr>
            <w:tcW w:w="1330"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四</w:t>
            </w:r>
            <w:r>
              <w:rPr>
                <w:rFonts w:hint="eastAsia" w:ascii="宋体" w:hAnsi="宋体" w:eastAsia="宋体" w:cs="宋体"/>
                <w:color w:val="auto"/>
                <w:kern w:val="0"/>
                <w:sz w:val="24"/>
                <w:szCs w:val="24"/>
              </w:rPr>
              <w:t>选一</w:t>
            </w:r>
          </w:p>
        </w:tc>
      </w:tr>
      <w:tr>
        <w:trPr>
          <w:trHeight w:val="567" w:hRule="atLeast"/>
          <w:jc w:val="center"/>
        </w:trPr>
        <w:tc>
          <w:tcPr>
            <w:tcW w:w="1034" w:type="dxa"/>
            <w:vMerge w:val="continue"/>
            <w:tcBorders>
              <w:top w:val="nil"/>
              <w:left w:val="single" w:color="000000" w:sz="8" w:space="0"/>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c>
          <w:tcPr>
            <w:tcW w:w="191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物流员</w:t>
            </w:r>
          </w:p>
        </w:tc>
        <w:tc>
          <w:tcPr>
            <w:tcW w:w="122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每年5月份与11月份</w:t>
            </w:r>
          </w:p>
        </w:tc>
        <w:tc>
          <w:tcPr>
            <w:tcW w:w="91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c>
          <w:tcPr>
            <w:tcW w:w="20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中国物流与采购联合会</w:t>
            </w:r>
          </w:p>
        </w:tc>
        <w:tc>
          <w:tcPr>
            <w:tcW w:w="1330" w:type="dxa"/>
            <w:vMerge w:val="continue"/>
            <w:tcBorders>
              <w:top w:val="nil"/>
              <w:left w:val="nil"/>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r>
      <w:tr>
        <w:trPr>
          <w:trHeight w:val="567" w:hRule="atLeast"/>
          <w:jc w:val="center"/>
        </w:trPr>
        <w:tc>
          <w:tcPr>
            <w:tcW w:w="1034" w:type="dxa"/>
            <w:vMerge w:val="continue"/>
            <w:tcBorders>
              <w:top w:val="nil"/>
              <w:left w:val="single" w:color="000000" w:sz="8" w:space="0"/>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c>
          <w:tcPr>
            <w:tcW w:w="191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国际货运代理员</w:t>
            </w:r>
          </w:p>
        </w:tc>
        <w:tc>
          <w:tcPr>
            <w:tcW w:w="122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每年11月份</w:t>
            </w:r>
          </w:p>
        </w:tc>
        <w:tc>
          <w:tcPr>
            <w:tcW w:w="91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p>
        </w:tc>
        <w:tc>
          <w:tcPr>
            <w:tcW w:w="20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中国商业企业管理协会</w:t>
            </w:r>
          </w:p>
        </w:tc>
        <w:tc>
          <w:tcPr>
            <w:tcW w:w="1330" w:type="dxa"/>
            <w:vMerge w:val="continue"/>
            <w:tcBorders>
              <w:top w:val="nil"/>
              <w:left w:val="nil"/>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r>
      <w:tr>
        <w:trPr>
          <w:trHeight w:val="567" w:hRule="atLeast"/>
          <w:jc w:val="center"/>
        </w:trPr>
        <w:tc>
          <w:tcPr>
            <w:tcW w:w="1034" w:type="dxa"/>
            <w:vMerge w:val="continue"/>
            <w:tcBorders>
              <w:top w:val="nil"/>
              <w:left w:val="single" w:color="000000" w:sz="8" w:space="0"/>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c>
          <w:tcPr>
            <w:tcW w:w="191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报检员</w:t>
            </w:r>
          </w:p>
        </w:tc>
        <w:tc>
          <w:tcPr>
            <w:tcW w:w="1223"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每年11月份</w:t>
            </w:r>
          </w:p>
        </w:tc>
        <w:tc>
          <w:tcPr>
            <w:tcW w:w="91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p>
        </w:tc>
        <w:tc>
          <w:tcPr>
            <w:tcW w:w="2002" w:type="dxa"/>
            <w:tcBorders>
              <w:top w:val="nil"/>
              <w:left w:val="nil"/>
              <w:bottom w:val="single" w:color="000000" w:sz="8" w:space="0"/>
              <w:right w:val="single" w:color="000000" w:sz="8"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pacing w:line="288"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中国质检总局</w:t>
            </w:r>
          </w:p>
        </w:tc>
        <w:tc>
          <w:tcPr>
            <w:tcW w:w="1330" w:type="dxa"/>
            <w:vMerge w:val="continue"/>
            <w:tcBorders>
              <w:top w:val="nil"/>
              <w:left w:val="nil"/>
              <w:bottom w:val="single" w:color="000000" w:sz="8" w:space="0"/>
              <w:right w:val="single" w:color="000000" w:sz="8" w:space="0"/>
            </w:tcBorders>
            <w:vAlign w:val="center"/>
          </w:tcPr>
          <w:p>
            <w:pPr>
              <w:pageBreakBefore w:val="0"/>
              <w:widowControl/>
              <w:kinsoku/>
              <w:wordWrap/>
              <w:overflowPunct/>
              <w:topLinePunct w:val="0"/>
              <w:autoSpaceDE/>
              <w:autoSpaceDN/>
              <w:bidi w:val="0"/>
              <w:adjustRightInd/>
              <w:spacing w:line="288" w:lineRule="auto"/>
              <w:jc w:val="left"/>
              <w:rPr>
                <w:rFonts w:hint="eastAsia" w:ascii="宋体" w:hAnsi="宋体" w:eastAsia="宋体" w:cs="宋体"/>
                <w:color w:val="auto"/>
                <w:kern w:val="0"/>
                <w:sz w:val="24"/>
                <w:szCs w:val="24"/>
              </w:rPr>
            </w:pPr>
          </w:p>
        </w:tc>
      </w:tr>
    </w:tbl>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十一、编制说明</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编制依据</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方案依据《省政府办公厅转发省教育厅&lt;关于进一步提高职业教育教学质量的意见&gt;的通知》（苏政办发[2012]194号）和《省教育厅关于制定中等职业教育和五年制高等职业教育人才培养方案的指导意见》（苏教职[2012]36号）编制。</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2.本方案充分体现构建以能力为本位、以职业实践为主线、以项目课程为主体的模块化专业课程体系的课程改革理念。并突出以下几点：</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（1）根据职业岗位能力要求，结合职业资格技能标准、学生职业生涯发展及继续学习的需要设置课程和教学环节，为学生终身发展奠定良好基础。</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（2）根据区域经济和行业特点自主设置选修课，学生可根据个人兴趣和条件自主选择课程。</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（3）注重中高等职业教育课程衔接。统筹安排公共基础、专业理论和专业实践课程，科学编排课程顺序，精心选择课程内容，强化与后续</w:t>
      </w:r>
      <w:r>
        <w:rPr>
          <w:rFonts w:hint="eastAsia" w:ascii="宋体" w:hAnsi="宋体" w:eastAsia="宋体" w:cs="宋体"/>
          <w:sz w:val="24"/>
          <w:szCs w:val="24"/>
          <w:lang w:val="en-US" w:eastAsia="zh-CN"/>
        </w:rPr>
        <w:t>专业</w:t>
      </w:r>
      <w:r>
        <w:rPr>
          <w:rFonts w:hint="eastAsia" w:ascii="宋体" w:hAnsi="宋体" w:eastAsia="宋体" w:cs="宋体"/>
          <w:sz w:val="24"/>
          <w:szCs w:val="24"/>
        </w:rPr>
        <w:t>课程衔接。</w:t>
      </w:r>
    </w:p>
    <w:p>
      <w:pPr>
        <w:pageBreakBefore w:val="0"/>
        <w:kinsoku/>
        <w:wordWrap/>
        <w:overflowPunct/>
        <w:topLinePunct w:val="0"/>
        <w:autoSpaceDE/>
        <w:autoSpaceDN/>
        <w:bidi w:val="0"/>
        <w:adjustRightInd/>
        <w:spacing w:line="288"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落实“2.5+0.5”人才培养模式，学生校内学习5个学期，校外顶岗实习不超过1学期。每学年为52周，其中教学时间40周（含复习考试），假期12周。第1至第5学期，每学期教学周18周，机动周2周，按28-30学时/周计算；第6学期顶岗实习18周，按30学时/周计算。</w:t>
      </w:r>
    </w:p>
    <w:p>
      <w:pPr>
        <w:pageBreakBefore w:val="0"/>
        <w:kinsoku/>
        <w:wordWrap/>
        <w:overflowPunct/>
        <w:topLinePunct w:val="0"/>
        <w:autoSpaceDE/>
        <w:autoSpaceDN/>
        <w:bidi w:val="0"/>
        <w:adjustRightInd/>
        <w:spacing w:line="288" w:lineRule="auto"/>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任意选修课程：</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（1）人文素质类任选课程：美育基础知识、演讲与口才、文学作品赏析、音乐欣赏、书法、毕业生就业指导、文学名著欣赏、音乐鉴赏、摄影及欣赏、大众健美操等；或语文、数学、英语课程的拓展内容。</w:t>
      </w:r>
    </w:p>
    <w:p>
      <w:pPr>
        <w:pageBreakBefore w:val="0"/>
        <w:kinsoku/>
        <w:wordWrap/>
        <w:overflowPunct/>
        <w:topLinePunct w:val="0"/>
        <w:autoSpaceDE/>
        <w:autoSpaceDN/>
        <w:bidi w:val="0"/>
        <w:adjustRightInd/>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）专业技能任选课程：仓储与配送实训</w:t>
      </w:r>
      <w:r>
        <w:rPr>
          <w:rFonts w:hint="eastAsia" w:ascii="宋体" w:hAnsi="宋体" w:eastAsia="宋体" w:cs="宋体"/>
          <w:sz w:val="24"/>
          <w:szCs w:val="24"/>
          <w:lang w:eastAsia="zh-CN"/>
        </w:rPr>
        <w:t>、</w:t>
      </w:r>
      <w:r>
        <w:rPr>
          <w:rFonts w:hint="eastAsia" w:ascii="宋体" w:hAnsi="宋体" w:eastAsia="宋体" w:cs="宋体"/>
          <w:sz w:val="24"/>
          <w:szCs w:val="24"/>
        </w:rPr>
        <w:t>物流法律法规</w:t>
      </w:r>
      <w:r>
        <w:rPr>
          <w:rFonts w:hint="eastAsia" w:ascii="宋体" w:hAnsi="宋体" w:eastAsia="宋体" w:cs="宋体"/>
          <w:sz w:val="24"/>
          <w:szCs w:val="24"/>
          <w:lang w:eastAsia="zh-CN"/>
        </w:rPr>
        <w:t>、</w:t>
      </w:r>
      <w:r>
        <w:rPr>
          <w:rFonts w:hint="eastAsia" w:ascii="宋体" w:hAnsi="宋体" w:eastAsia="宋体" w:cs="宋体"/>
          <w:sz w:val="24"/>
          <w:szCs w:val="24"/>
        </w:rPr>
        <w:t>物流信息技术及其他课程。</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开发团队</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沈彤彤（江苏省大丰中等专业学校财经商贸教研1组组长）</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杨荣花（江苏省大丰中等专业学校财经商贸教研1组成员）</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  慧（江苏省大丰中等专业学校财经商贸教研1组成员）</w:t>
      </w:r>
    </w:p>
    <w:p>
      <w:pPr>
        <w:pageBreakBefore w:val="0"/>
        <w:kinsoku/>
        <w:wordWrap/>
        <w:overflowPunct/>
        <w:topLinePunct w:val="0"/>
        <w:autoSpaceDE/>
        <w:autoSpaceDN/>
        <w:bidi w:val="0"/>
        <w:adjustRightInd/>
        <w:spacing w:line="28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王雪欢（江苏省大丰中等专业学校财经商贸教研1组成员）</w:t>
      </w:r>
    </w:p>
    <w:p>
      <w:pPr>
        <w:pStyle w:val="2"/>
        <w:pageBreakBefore w:val="0"/>
        <w:kinsoku/>
        <w:wordWrap/>
        <w:overflowPunct/>
        <w:topLinePunct w:val="0"/>
        <w:autoSpaceDE/>
        <w:autoSpaceDN/>
        <w:bidi w:val="0"/>
        <w:adjustRightInd/>
        <w:spacing w:line="288" w:lineRule="auto"/>
        <w:ind w:left="0" w:leftChars="0" w:firstLine="480" w:firstLineChars="200"/>
        <w:rPr>
          <w:rFonts w:hint="default" w:ascii="宋体" w:hAnsi="宋体" w:eastAsia="宋体" w:cs="宋体"/>
          <w:b/>
          <w:sz w:val="24"/>
          <w:szCs w:val="24"/>
          <w:lang w:val="en-US" w:eastAsia="zh-CN"/>
        </w:rPr>
      </w:pPr>
      <w:r>
        <w:rPr>
          <w:rFonts w:ascii="宋体" w:hAnsi="宋体" w:eastAsia="宋体" w:cs="宋体"/>
          <w:sz w:val="24"/>
          <w:szCs w:val="24"/>
        </w:rPr>
        <w:t>李</w:t>
      </w:r>
      <w:r>
        <w:rPr>
          <w:rFonts w:hint="eastAsia" w:ascii="宋体" w:hAnsi="宋体" w:eastAsia="宋体" w:cs="宋体"/>
          <w:sz w:val="24"/>
          <w:szCs w:val="24"/>
          <w:lang w:val="en-US" w:eastAsia="zh-CN"/>
        </w:rPr>
        <w:t xml:space="preserve">  </w:t>
      </w:r>
      <w:r>
        <w:rPr>
          <w:rFonts w:ascii="宋体" w:hAnsi="宋体" w:eastAsia="宋体" w:cs="宋体"/>
          <w:sz w:val="24"/>
          <w:szCs w:val="24"/>
        </w:rPr>
        <w:t>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中国物流与采购联合会）</w:t>
      </w:r>
    </w:p>
    <w:p>
      <w:pPr>
        <w:pStyle w:val="2"/>
        <w:pageBreakBefore w:val="0"/>
        <w:kinsoku/>
        <w:wordWrap/>
        <w:overflowPunct/>
        <w:topLinePunct w:val="0"/>
        <w:autoSpaceDE/>
        <w:autoSpaceDN/>
        <w:bidi w:val="0"/>
        <w:adjustRightInd/>
        <w:spacing w:line="288" w:lineRule="auto"/>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夏</w:t>
      </w:r>
      <w:r>
        <w:rPr>
          <w:rFonts w:hint="eastAsia" w:ascii="宋体" w:hAnsi="宋体" w:cs="宋体"/>
          <w:sz w:val="24"/>
          <w:szCs w:val="24"/>
          <w:lang w:val="en-US" w:eastAsia="zh-CN"/>
        </w:rPr>
        <w:t>存霞</w:t>
      </w:r>
      <w:r>
        <w:rPr>
          <w:rFonts w:hint="eastAsia" w:ascii="宋体" w:hAnsi="宋体" w:eastAsia="宋体" w:cs="宋体"/>
          <w:sz w:val="24"/>
          <w:szCs w:val="24"/>
          <w:lang w:val="en-US" w:eastAsia="zh-CN"/>
        </w:rPr>
        <w:t>（江苏航运职业技术学院）</w:t>
      </w:r>
    </w:p>
    <w:p>
      <w:pPr>
        <w:pStyle w:val="2"/>
        <w:pageBreakBefore w:val="0"/>
        <w:kinsoku/>
        <w:wordWrap/>
        <w:overflowPunct/>
        <w:topLinePunct w:val="0"/>
        <w:autoSpaceDE/>
        <w:autoSpaceDN/>
        <w:bidi w:val="0"/>
        <w:adjustRightInd/>
        <w:spacing w:line="288" w:lineRule="auto"/>
        <w:rPr>
          <w:rFonts w:hint="eastAsia" w:ascii="宋体" w:hAnsi="宋体" w:eastAsia="宋体" w:cs="宋体"/>
          <w:b/>
          <w:sz w:val="24"/>
          <w:szCs w:val="24"/>
          <w:lang w:val="en-US" w:eastAsia="zh-CN"/>
        </w:rPr>
      </w:pPr>
    </w:p>
    <w:p>
      <w:pPr>
        <w:pStyle w:val="2"/>
        <w:pageBreakBefore w:val="0"/>
        <w:kinsoku/>
        <w:wordWrap/>
        <w:overflowPunct/>
        <w:topLinePunct w:val="0"/>
        <w:autoSpaceDE/>
        <w:autoSpaceDN/>
        <w:bidi w:val="0"/>
        <w:adjustRightInd/>
        <w:spacing w:line="288" w:lineRule="auto"/>
        <w:ind w:left="0" w:leftChars="0" w:firstLine="0" w:firstLineChars="0"/>
        <w:rPr>
          <w:rFonts w:hint="eastAsia" w:ascii="宋体" w:hAnsi="宋体" w:eastAsia="宋体" w:cs="宋体"/>
          <w:b/>
          <w:sz w:val="24"/>
          <w:szCs w:val="24"/>
          <w:lang w:val="en-US" w:eastAsia="zh-CN"/>
        </w:rPr>
        <w:sectPr>
          <w:pgSz w:w="11906" w:h="16838"/>
          <w:pgMar w:top="1440" w:right="1797" w:bottom="1440" w:left="1797" w:header="851" w:footer="992" w:gutter="0"/>
          <w:cols w:space="720" w:num="1"/>
          <w:docGrid w:type="lines" w:linePitch="312" w:charSpace="0"/>
        </w:sectPr>
      </w:pPr>
    </w:p>
    <w:p>
      <w:pPr>
        <w:pStyle w:val="2"/>
        <w:pageBreakBefore w:val="0"/>
        <w:kinsoku/>
        <w:wordWrap/>
        <w:overflowPunct/>
        <w:topLinePunct w:val="0"/>
        <w:autoSpaceDE/>
        <w:autoSpaceDN/>
        <w:bidi w:val="0"/>
        <w:adjustRightInd/>
        <w:spacing w:line="288" w:lineRule="auto"/>
        <w:ind w:left="0" w:leftChars="0" w:firstLine="0" w:firstLineChars="0"/>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Hans"/>
        </w:rPr>
        <w:t>附件</w:t>
      </w:r>
      <w:r>
        <w:rPr>
          <w:rFonts w:hint="eastAsia" w:ascii="宋体" w:hAnsi="宋体" w:eastAsia="宋体" w:cs="宋体"/>
          <w:b w:val="0"/>
          <w:bCs/>
          <w:sz w:val="24"/>
          <w:szCs w:val="24"/>
          <w:lang w:val="en-US" w:eastAsia="zh-CN"/>
        </w:rPr>
        <w:t xml:space="preserve"> 教学进程安排表</w:t>
      </w:r>
    </w:p>
    <w:tbl>
      <w:tblPr>
        <w:tblStyle w:val="11"/>
        <w:tblpPr w:leftFromText="180" w:rightFromText="180" w:vertAnchor="text" w:horzAnchor="page" w:tblpX="1633" w:tblpY="483"/>
        <w:tblOverlap w:val="never"/>
        <w:tblW w:w="13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58"/>
        <w:gridCol w:w="681"/>
        <w:gridCol w:w="724"/>
        <w:gridCol w:w="3014"/>
        <w:gridCol w:w="766"/>
        <w:gridCol w:w="769"/>
        <w:gridCol w:w="574"/>
        <w:gridCol w:w="574"/>
        <w:gridCol w:w="574"/>
        <w:gridCol w:w="574"/>
        <w:gridCol w:w="574"/>
        <w:gridCol w:w="574"/>
        <w:gridCol w:w="574"/>
        <w:gridCol w:w="574"/>
        <w:gridCol w:w="574"/>
        <w:gridCol w:w="654"/>
        <w:gridCol w:w="763"/>
      </w:tblGrid>
      <w:tr>
        <w:trPr>
          <w:trHeight w:val="347" w:hRule="atLeast"/>
        </w:trPr>
        <w:tc>
          <w:tcPr>
            <w:tcW w:w="642"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419" w:type="dxa"/>
            <w:gridSpan w:val="3"/>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c>
          <w:tcPr>
            <w:tcW w:w="1535" w:type="dxa"/>
            <w:gridSpan w:val="2"/>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学时数</w:t>
            </w:r>
          </w:p>
        </w:tc>
        <w:tc>
          <w:tcPr>
            <w:tcW w:w="6583" w:type="dxa"/>
            <w:gridSpan w:val="11"/>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课程教学各学期周学时</w:t>
            </w: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658"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4419" w:type="dxa"/>
            <w:gridSpan w:val="3"/>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766"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总学时</w:t>
            </w:r>
          </w:p>
        </w:tc>
        <w:tc>
          <w:tcPr>
            <w:tcW w:w="769"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学分</w:t>
            </w:r>
          </w:p>
        </w:tc>
        <w:tc>
          <w:tcPr>
            <w:tcW w:w="1148" w:type="dxa"/>
            <w:gridSpan w:val="2"/>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w:t>
            </w:r>
          </w:p>
        </w:tc>
        <w:tc>
          <w:tcPr>
            <w:tcW w:w="1148" w:type="dxa"/>
            <w:gridSpan w:val="2"/>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w:t>
            </w:r>
          </w:p>
        </w:tc>
        <w:tc>
          <w:tcPr>
            <w:tcW w:w="1148" w:type="dxa"/>
            <w:gridSpan w:val="2"/>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tc>
        <w:tc>
          <w:tcPr>
            <w:tcW w:w="1148" w:type="dxa"/>
            <w:gridSpan w:val="2"/>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w:t>
            </w:r>
          </w:p>
        </w:tc>
        <w:tc>
          <w:tcPr>
            <w:tcW w:w="1228" w:type="dxa"/>
            <w:gridSpan w:val="2"/>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w:t>
            </w:r>
          </w:p>
        </w:tc>
      </w:tr>
      <w:tr>
        <w:trPr>
          <w:trHeight w:val="568" w:hRule="atLeast"/>
        </w:trPr>
        <w:tc>
          <w:tcPr>
            <w:tcW w:w="642"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658"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4419" w:type="dxa"/>
            <w:gridSpan w:val="3"/>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766"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769"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16周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17周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17周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17周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16周</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2周</w:t>
            </w: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20周</w:t>
            </w:r>
          </w:p>
        </w:tc>
      </w:tr>
      <w:tr>
        <w:trPr>
          <w:trHeight w:val="429" w:hRule="atLeast"/>
        </w:trPr>
        <w:tc>
          <w:tcPr>
            <w:tcW w:w="642"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1"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思想政治课</w:t>
            </w:r>
          </w:p>
        </w:tc>
        <w:tc>
          <w:tcPr>
            <w:tcW w:w="724"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必修</w:t>
            </w: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5" w:hRule="atLeast"/>
        </w:trPr>
        <w:tc>
          <w:tcPr>
            <w:tcW w:w="642" w:type="dxa"/>
            <w:vMerge w:val="continue"/>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681" w:type="dxa"/>
            <w:vMerge w:val="continue"/>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4" w:type="dxa"/>
            <w:vMerge w:val="continue"/>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心理健康与职业生涯</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哲学与人生</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职业道德与法治</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kern w:val="2"/>
                <w:sz w:val="24"/>
                <w:szCs w:val="24"/>
                <w:u w:val="none"/>
                <w:lang w:val="en-US" w:eastAsia="zh-CN" w:bidi="ar-SA"/>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426"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限选</w:t>
            </w: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职业素养与情感</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lang w:val="en-US" w:eastAsia="zh-CN"/>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81"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文化课</w:t>
            </w:r>
          </w:p>
        </w:tc>
        <w:tc>
          <w:tcPr>
            <w:tcW w:w="724"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必修</w:t>
            </w: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语文</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474"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rPr>
              <w:t>数学</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英语</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体育与健康</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信息技术</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历史</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艺术（音乐）</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u w:val="none"/>
                <w:lang w:eastAsia="zh-CN" w:bidi="ar"/>
              </w:rPr>
            </w:pPr>
            <w:r>
              <w:rPr>
                <w:rFonts w:hint="eastAsia" w:ascii="宋体" w:hAnsi="宋体" w:eastAsia="宋体" w:cs="宋体"/>
                <w:i w:val="0"/>
                <w:iCs w:val="0"/>
                <w:color w:val="auto"/>
                <w:kern w:val="0"/>
                <w:sz w:val="24"/>
                <w:szCs w:val="24"/>
                <w:u w:val="none"/>
                <w:lang w:eastAsia="zh-CN" w:bidi="ar"/>
              </w:rPr>
              <w:t>13</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艺术（美术）</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kern w:val="2"/>
                <w:sz w:val="24"/>
                <w:szCs w:val="24"/>
                <w:u w:val="none"/>
                <w:lang w:val="en-US" w:eastAsia="zh-CN" w:bidi="ar-SA"/>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u w:val="none"/>
                <w:lang w:val="en-US" w:eastAsia="zh-CN" w:bidi="ar"/>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eastAsia="zh-CN" w:bidi="ar"/>
              </w:rPr>
              <w:t>4</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劳动教育</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限选</w:t>
            </w: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中华传统文化</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eastAsia="zh-CN" w:bidi="ar"/>
              </w:rPr>
            </w:pPr>
            <w:r>
              <w:rPr>
                <w:rFonts w:hint="eastAsia" w:ascii="宋体" w:hAnsi="宋体" w:eastAsia="宋体" w:cs="宋体"/>
                <w:i w:val="0"/>
                <w:iCs w:val="0"/>
                <w:color w:val="auto"/>
                <w:kern w:val="0"/>
                <w:sz w:val="24"/>
                <w:szCs w:val="24"/>
                <w:highlight w:val="none"/>
                <w:u w:val="none"/>
                <w:lang w:eastAsia="zh-CN" w:bidi="ar"/>
              </w:rPr>
              <w:t>1</w:t>
            </w:r>
            <w:r>
              <w:rPr>
                <w:rFonts w:hint="eastAsia" w:ascii="宋体" w:hAnsi="宋体" w:eastAsia="宋体" w:cs="宋体"/>
                <w:i w:val="0"/>
                <w:iCs w:val="0"/>
                <w:color w:val="auto"/>
                <w:kern w:val="0"/>
                <w:sz w:val="24"/>
                <w:szCs w:val="24"/>
                <w:highlight w:val="none"/>
                <w:u w:val="none"/>
                <w:lang w:val="en-US" w:eastAsia="zh-CN" w:bidi="ar"/>
              </w:rPr>
              <w:t>6</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书法</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both"/>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经济地理</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eastAsia="zh-CN" w:bidi="ar"/>
              </w:rPr>
            </w:pPr>
            <w:r>
              <w:rPr>
                <w:rFonts w:hint="eastAsia" w:ascii="宋体" w:hAnsi="宋体" w:eastAsia="宋体" w:cs="宋体"/>
                <w:i w:val="0"/>
                <w:iCs w:val="0"/>
                <w:color w:val="auto"/>
                <w:kern w:val="0"/>
                <w:sz w:val="24"/>
                <w:szCs w:val="24"/>
                <w:highlight w:val="none"/>
                <w:u w:val="none"/>
                <w:lang w:eastAsia="zh-CN" w:bidi="ar"/>
              </w:rPr>
              <w:t>1</w:t>
            </w:r>
            <w:r>
              <w:rPr>
                <w:rFonts w:hint="eastAsia" w:ascii="宋体" w:hAnsi="宋体" w:eastAsia="宋体" w:cs="宋体"/>
                <w:i w:val="0"/>
                <w:iCs w:val="0"/>
                <w:color w:val="auto"/>
                <w:kern w:val="0"/>
                <w:sz w:val="24"/>
                <w:szCs w:val="24"/>
                <w:highlight w:val="none"/>
                <w:u w:val="none"/>
                <w:lang w:val="en-US" w:eastAsia="zh-CN" w:bidi="ar"/>
              </w:rPr>
              <w:t>8</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任选</w:t>
            </w: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数学与财经商贸专题</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2</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英语：自我发展专题</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2</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思辨性阅读与表达</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2</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2</w:t>
            </w:r>
            <w:r>
              <w:rPr>
                <w:rFonts w:hint="eastAsia" w:ascii="宋体" w:hAnsi="宋体" w:eastAsia="宋体" w:cs="宋体"/>
                <w:i w:val="0"/>
                <w:iCs w:val="0"/>
                <w:color w:val="auto"/>
                <w:sz w:val="24"/>
                <w:szCs w:val="24"/>
                <w:highlight w:val="none"/>
                <w:u w:val="none"/>
                <w:lang w:val="en-US" w:eastAsia="zh-CN"/>
              </w:rPr>
              <w:t>1</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Merge w:val="continue"/>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心理健康</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90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green"/>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green"/>
                <w:u w:val="none"/>
              </w:rPr>
            </w:pPr>
          </w:p>
        </w:tc>
      </w:tr>
      <w:tr>
        <w:trPr>
          <w:trHeight w:val="386" w:hRule="atLeast"/>
        </w:trPr>
        <w:tc>
          <w:tcPr>
            <w:tcW w:w="642" w:type="dxa"/>
            <w:vAlign w:val="center"/>
          </w:tcPr>
          <w:p>
            <w:pPr>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sz w:val="24"/>
                <w:szCs w:val="24"/>
                <w:u w:val="none"/>
              </w:rPr>
            </w:pPr>
          </w:p>
        </w:tc>
        <w:tc>
          <w:tcPr>
            <w:tcW w:w="5077" w:type="dxa"/>
            <w:gridSpan w:val="4"/>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（心理健康根据上级要求每学期开设，未计入总学分）</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1260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70</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19</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17</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13</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u w:val="none"/>
              </w:rPr>
            </w:pPr>
          </w:p>
        </w:tc>
      </w:tr>
      <w:tr>
        <w:trPr>
          <w:trHeight w:val="347" w:hRule="atLeast"/>
        </w:trPr>
        <w:tc>
          <w:tcPr>
            <w:tcW w:w="6485" w:type="dxa"/>
            <w:gridSpan w:val="6"/>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361" w:type="dxa"/>
            <w:gridSpan w:val="9"/>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专业技能课程</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r>
      <w:tr>
        <w:trPr>
          <w:trHeight w:val="90"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2</w:t>
            </w:r>
            <w:r>
              <w:rPr>
                <w:rFonts w:hint="eastAsia" w:ascii="宋体" w:hAnsi="宋体" w:eastAsia="宋体" w:cs="宋体"/>
                <w:i w:val="0"/>
                <w:iCs w:val="0"/>
                <w:color w:val="000000"/>
                <w:sz w:val="24"/>
                <w:szCs w:val="24"/>
                <w:highlight w:val="none"/>
                <w:u w:val="none"/>
                <w:lang w:val="en-US" w:eastAsia="zh-CN"/>
              </w:rPr>
              <w:t>2</w:t>
            </w:r>
          </w:p>
        </w:tc>
        <w:tc>
          <w:tcPr>
            <w:tcW w:w="681"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基础平台课程</w:t>
            </w: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物流基础</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7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2</w:t>
            </w:r>
            <w:r>
              <w:rPr>
                <w:rFonts w:hint="eastAsia" w:ascii="宋体" w:hAnsi="宋体" w:eastAsia="宋体" w:cs="宋体"/>
                <w:i w:val="0"/>
                <w:iCs w:val="0"/>
                <w:color w:val="000000"/>
                <w:sz w:val="24"/>
                <w:szCs w:val="24"/>
                <w:highlight w:val="none"/>
                <w:u w:val="none"/>
                <w:lang w:val="en-US" w:eastAsia="zh-CN"/>
              </w:rPr>
              <w:t>3</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物流设施与设备</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运输实务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41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仓储实务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电子商务基础与实务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货物认知与养护</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28</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物流营销实务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29</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会计学基础</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26"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小 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522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8</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0</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0</w:t>
            </w:r>
          </w:p>
        </w:tc>
        <w:tc>
          <w:tcPr>
            <w:tcW w:w="681"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核心课程</w:t>
            </w: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商品归类与编码</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1</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国际贸易实务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29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2</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国际货代实务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237"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3</w:t>
            </w:r>
            <w:r>
              <w:rPr>
                <w:rFonts w:hint="eastAsia" w:ascii="宋体" w:hAnsi="宋体" w:eastAsia="宋体" w:cs="宋体"/>
                <w:i w:val="0"/>
                <w:iCs w:val="0"/>
                <w:color w:val="000000"/>
                <w:sz w:val="24"/>
                <w:szCs w:val="24"/>
                <w:highlight w:val="none"/>
                <w:u w:val="none"/>
                <w:lang w:val="en-US" w:eastAsia="zh-CN"/>
              </w:rPr>
              <w:t>3</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报关实务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28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国际单证实务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auto"/>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国际货代实训</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auto"/>
                <w:sz w:val="24"/>
                <w:szCs w:val="24"/>
                <w:highlight w:val="none"/>
                <w:u w:val="none"/>
              </w:rPr>
            </w:pPr>
          </w:p>
        </w:tc>
      </w:tr>
      <w:tr>
        <w:trPr>
          <w:trHeight w:val="382" w:hRule="atLeast"/>
        </w:trPr>
        <w:tc>
          <w:tcPr>
            <w:tcW w:w="5719" w:type="dxa"/>
            <w:gridSpan w:val="5"/>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r>
              <w:rPr>
                <w:rStyle w:val="32"/>
                <w:rFonts w:hint="eastAsia" w:ascii="宋体" w:hAnsi="宋体" w:eastAsia="宋体" w:cs="宋体"/>
                <w:sz w:val="24"/>
                <w:szCs w:val="24"/>
                <w:highlight w:val="none"/>
                <w:lang w:val="en-US" w:eastAsia="zh-CN" w:bidi="ar"/>
              </w:rPr>
              <w:t>小 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486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27</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7</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16"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681" w:type="dxa"/>
            <w:vMerge w:val="restart"/>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专业拓展课程</w:t>
            </w: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仓储与配送实训</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28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37</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物流法律法规</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2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38</w:t>
            </w:r>
          </w:p>
        </w:tc>
        <w:tc>
          <w:tcPr>
            <w:tcW w:w="681"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2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物流信息技术</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54</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24"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8"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39</w:t>
            </w:r>
          </w:p>
        </w:tc>
        <w:tc>
          <w:tcPr>
            <w:tcW w:w="1405" w:type="dxa"/>
            <w:gridSpan w:val="2"/>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综合实训</w:t>
            </w:r>
          </w:p>
        </w:tc>
        <w:tc>
          <w:tcPr>
            <w:tcW w:w="301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1+X职业技能等级证书（初级）辅导（含学测）</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lang w:val="en-US" w:eastAsia="zh-CN"/>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w:t>
            </w: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  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288</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16</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0</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0</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10</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r>
      <w:tr>
        <w:trPr>
          <w:trHeight w:val="346"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顶岗实习</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540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30</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b/>
                <w:bCs/>
                <w:i w:val="0"/>
                <w:iCs w:val="0"/>
                <w:color w:val="000000"/>
                <w:sz w:val="24"/>
                <w:szCs w:val="24"/>
                <w:highlight w:val="none"/>
                <w:u w:val="none"/>
              </w:rPr>
            </w:pP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18周</w:t>
            </w:r>
          </w:p>
        </w:tc>
      </w:tr>
      <w:tr>
        <w:trPr>
          <w:trHeight w:val="346" w:hRule="atLeast"/>
        </w:trPr>
        <w:tc>
          <w:tcPr>
            <w:tcW w:w="642"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  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1836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102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10</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12</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14</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18</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16</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2周</w:t>
            </w: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18周</w:t>
            </w:r>
          </w:p>
        </w:tc>
      </w:tr>
      <w:tr>
        <w:trPr>
          <w:trHeight w:val="406" w:hRule="atLeast"/>
        </w:trPr>
        <w:tc>
          <w:tcPr>
            <w:tcW w:w="642" w:type="dxa"/>
            <w:vMerge w:val="restart"/>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其他教育活动</w:t>
            </w: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专业认识与入学教育</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1周</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6" w:hRule="atLeast"/>
        </w:trPr>
        <w:tc>
          <w:tcPr>
            <w:tcW w:w="642"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军训</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1周</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r>
      <w:tr>
        <w:trPr>
          <w:trHeight w:val="347" w:hRule="atLeast"/>
        </w:trPr>
        <w:tc>
          <w:tcPr>
            <w:tcW w:w="642"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毕业考核、毕业教育</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2周</w:t>
            </w:r>
          </w:p>
        </w:tc>
      </w:tr>
      <w:tr>
        <w:trPr>
          <w:trHeight w:val="336" w:hRule="atLeast"/>
        </w:trPr>
        <w:tc>
          <w:tcPr>
            <w:tcW w:w="642" w:type="dxa"/>
            <w:vMerge w:val="continue"/>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077" w:type="dxa"/>
            <w:gridSpan w:val="4"/>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  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90</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2周</w:t>
            </w: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57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654" w:type="dxa"/>
            <w:vAlign w:val="center"/>
          </w:tcPr>
          <w:p>
            <w:pPr>
              <w:pageBreakBefore w:val="0"/>
              <w:kinsoku/>
              <w:wordWrap/>
              <w:overflowPunct/>
              <w:topLinePunct w:val="0"/>
              <w:autoSpaceDE/>
              <w:autoSpaceDN/>
              <w:bidi w:val="0"/>
              <w:adjustRightInd/>
              <w:spacing w:line="288" w:lineRule="auto"/>
              <w:jc w:val="center"/>
              <w:rPr>
                <w:rFonts w:hint="eastAsia" w:ascii="宋体" w:hAnsi="宋体" w:eastAsia="宋体" w:cs="宋体"/>
                <w:i w:val="0"/>
                <w:iCs w:val="0"/>
                <w:color w:val="000000"/>
                <w:sz w:val="24"/>
                <w:szCs w:val="24"/>
                <w:highlight w:val="none"/>
                <w:u w:val="none"/>
              </w:rPr>
            </w:pP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2周</w:t>
            </w:r>
          </w:p>
        </w:tc>
      </w:tr>
      <w:tr>
        <w:trPr>
          <w:trHeight w:val="604" w:hRule="atLeast"/>
        </w:trPr>
        <w:tc>
          <w:tcPr>
            <w:tcW w:w="5719" w:type="dxa"/>
            <w:gridSpan w:val="5"/>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总  计</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3186</w:t>
            </w:r>
          </w:p>
        </w:tc>
        <w:tc>
          <w:tcPr>
            <w:tcW w:w="769"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180</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1周</w:t>
            </w:r>
          </w:p>
        </w:tc>
        <w:tc>
          <w:tcPr>
            <w:tcW w:w="57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654"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2周</w:t>
            </w:r>
          </w:p>
        </w:tc>
        <w:tc>
          <w:tcPr>
            <w:tcW w:w="763" w:type="dxa"/>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20周</w:t>
            </w:r>
          </w:p>
        </w:tc>
      </w:tr>
    </w:tbl>
    <w:p>
      <w:pPr>
        <w:pStyle w:val="2"/>
        <w:pageBreakBefore w:val="0"/>
        <w:kinsoku/>
        <w:wordWrap/>
        <w:overflowPunct/>
        <w:topLinePunct w:val="0"/>
        <w:autoSpaceDE/>
        <w:autoSpaceDN/>
        <w:bidi w:val="0"/>
        <w:adjustRightInd/>
        <w:spacing w:line="288" w:lineRule="auto"/>
        <w:jc w:val="center"/>
        <w:rPr>
          <w:rFonts w:hint="eastAsia" w:ascii="宋体" w:hAnsi="宋体" w:eastAsia="宋体" w:cs="宋体"/>
          <w:b/>
          <w:sz w:val="24"/>
          <w:szCs w:val="24"/>
          <w:highlight w:val="none"/>
          <w:lang w:val="en-US" w:eastAsia="zh-Hans"/>
        </w:rPr>
      </w:pPr>
      <w:r>
        <w:rPr>
          <w:rFonts w:hint="eastAsia" w:ascii="宋体" w:hAnsi="宋体" w:eastAsia="宋体" w:cs="宋体"/>
          <w:b/>
          <w:sz w:val="24"/>
          <w:szCs w:val="24"/>
          <w:highlight w:val="none"/>
          <w:lang w:val="en-US" w:eastAsia="zh-Hans"/>
        </w:rPr>
        <w:t>教</w:t>
      </w:r>
      <w:r>
        <w:rPr>
          <w:rFonts w:hint="eastAsia" w:ascii="宋体" w:hAnsi="宋体" w:eastAsia="宋体" w:cs="宋体"/>
          <w:b/>
          <w:sz w:val="24"/>
          <w:szCs w:val="24"/>
          <w:highlight w:val="none"/>
          <w:lang w:eastAsia="zh-Hans"/>
        </w:rPr>
        <w:t xml:space="preserve"> </w:t>
      </w:r>
      <w:r>
        <w:rPr>
          <w:rFonts w:hint="eastAsia" w:ascii="宋体" w:hAnsi="宋体" w:eastAsia="宋体" w:cs="宋体"/>
          <w:b/>
          <w:sz w:val="24"/>
          <w:szCs w:val="24"/>
          <w:highlight w:val="none"/>
          <w:lang w:val="en-US" w:eastAsia="zh-Hans"/>
        </w:rPr>
        <w:t>学</w:t>
      </w:r>
      <w:r>
        <w:rPr>
          <w:rFonts w:hint="eastAsia" w:ascii="宋体" w:hAnsi="宋体" w:eastAsia="宋体" w:cs="宋体"/>
          <w:b/>
          <w:sz w:val="24"/>
          <w:szCs w:val="24"/>
          <w:highlight w:val="none"/>
          <w:lang w:eastAsia="zh-Hans"/>
        </w:rPr>
        <w:t xml:space="preserve"> </w:t>
      </w:r>
      <w:r>
        <w:rPr>
          <w:rFonts w:hint="eastAsia" w:ascii="宋体" w:hAnsi="宋体" w:eastAsia="宋体" w:cs="宋体"/>
          <w:b/>
          <w:sz w:val="24"/>
          <w:szCs w:val="24"/>
          <w:highlight w:val="none"/>
          <w:lang w:val="en-US" w:eastAsia="zh-Hans"/>
        </w:rPr>
        <w:t>进</w:t>
      </w:r>
      <w:r>
        <w:rPr>
          <w:rFonts w:hint="eastAsia" w:ascii="宋体" w:hAnsi="宋体" w:eastAsia="宋体" w:cs="宋体"/>
          <w:b/>
          <w:sz w:val="24"/>
          <w:szCs w:val="24"/>
          <w:highlight w:val="none"/>
          <w:lang w:eastAsia="zh-Hans"/>
        </w:rPr>
        <w:t xml:space="preserve"> </w:t>
      </w:r>
      <w:r>
        <w:rPr>
          <w:rFonts w:hint="eastAsia" w:ascii="宋体" w:hAnsi="宋体" w:eastAsia="宋体" w:cs="宋体"/>
          <w:b/>
          <w:sz w:val="24"/>
          <w:szCs w:val="24"/>
          <w:highlight w:val="none"/>
          <w:lang w:val="en-US" w:eastAsia="zh-Hans"/>
        </w:rPr>
        <w:t>程</w:t>
      </w:r>
      <w:r>
        <w:rPr>
          <w:rFonts w:hint="eastAsia" w:ascii="宋体" w:hAnsi="宋体" w:eastAsia="宋体" w:cs="宋体"/>
          <w:b/>
          <w:sz w:val="24"/>
          <w:szCs w:val="24"/>
          <w:highlight w:val="none"/>
          <w:lang w:eastAsia="zh-Hans"/>
        </w:rPr>
        <w:t xml:space="preserve"> </w:t>
      </w:r>
      <w:r>
        <w:rPr>
          <w:rFonts w:hint="eastAsia" w:ascii="宋体" w:hAnsi="宋体" w:eastAsia="宋体" w:cs="宋体"/>
          <w:b/>
          <w:sz w:val="24"/>
          <w:szCs w:val="24"/>
          <w:highlight w:val="none"/>
          <w:lang w:val="en-US" w:eastAsia="zh-Hans"/>
        </w:rPr>
        <w:t>安</w:t>
      </w:r>
      <w:r>
        <w:rPr>
          <w:rFonts w:hint="eastAsia" w:ascii="宋体" w:hAnsi="宋体" w:eastAsia="宋体" w:cs="宋体"/>
          <w:b/>
          <w:sz w:val="24"/>
          <w:szCs w:val="24"/>
          <w:highlight w:val="none"/>
          <w:lang w:eastAsia="zh-Hans"/>
        </w:rPr>
        <w:t xml:space="preserve"> </w:t>
      </w:r>
      <w:r>
        <w:rPr>
          <w:rFonts w:hint="eastAsia" w:ascii="宋体" w:hAnsi="宋体" w:eastAsia="宋体" w:cs="宋体"/>
          <w:b/>
          <w:sz w:val="24"/>
          <w:szCs w:val="24"/>
          <w:highlight w:val="none"/>
          <w:lang w:val="en-US" w:eastAsia="zh-Hans"/>
        </w:rPr>
        <w:t>排</w:t>
      </w:r>
      <w:r>
        <w:rPr>
          <w:rFonts w:hint="eastAsia" w:ascii="宋体" w:hAnsi="宋体" w:eastAsia="宋体" w:cs="宋体"/>
          <w:b/>
          <w:sz w:val="24"/>
          <w:szCs w:val="24"/>
          <w:highlight w:val="none"/>
          <w:lang w:eastAsia="zh-Hans"/>
        </w:rPr>
        <w:t xml:space="preserve"> </w:t>
      </w:r>
      <w:r>
        <w:rPr>
          <w:rFonts w:hint="eastAsia" w:ascii="宋体" w:hAnsi="宋体" w:eastAsia="宋体" w:cs="宋体"/>
          <w:b/>
          <w:sz w:val="24"/>
          <w:szCs w:val="24"/>
          <w:highlight w:val="none"/>
          <w:lang w:val="en-US" w:eastAsia="zh-Hans"/>
        </w:rPr>
        <w:t>表</w:t>
      </w:r>
    </w:p>
    <w:p>
      <w:pPr>
        <w:pageBreakBefore w:val="0"/>
        <w:widowControl/>
        <w:kinsoku/>
        <w:wordWrap/>
        <w:overflowPunct/>
        <w:topLinePunct w:val="0"/>
        <w:autoSpaceDE/>
        <w:autoSpaceDN/>
        <w:bidi w:val="0"/>
        <w:adjustRightInd/>
        <w:spacing w:line="288"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注：1.总学时</w:t>
      </w:r>
      <w:r>
        <w:rPr>
          <w:rFonts w:hint="eastAsia" w:ascii="宋体" w:hAnsi="宋体" w:eastAsia="宋体" w:cs="宋体"/>
          <w:color w:val="auto"/>
          <w:sz w:val="24"/>
          <w:szCs w:val="24"/>
          <w:highlight w:val="none"/>
          <w:lang w:val="en-US" w:eastAsia="zh-CN"/>
        </w:rPr>
        <w:t>3186</w:t>
      </w:r>
      <w:r>
        <w:rPr>
          <w:rFonts w:hint="eastAsia" w:ascii="宋体" w:hAnsi="宋体" w:eastAsia="宋体" w:cs="宋体"/>
          <w:sz w:val="24"/>
          <w:szCs w:val="24"/>
          <w:highlight w:val="none"/>
        </w:rPr>
        <w:t>。公共基础必修和限选课程学时占比约</w:t>
      </w:r>
      <w:r>
        <w:rPr>
          <w:rFonts w:hint="eastAsia" w:ascii="宋体" w:hAnsi="宋体" w:eastAsia="宋体" w:cs="宋体"/>
          <w:sz w:val="24"/>
          <w:szCs w:val="24"/>
          <w:highlight w:val="none"/>
          <w:lang w:val="en-US" w:eastAsia="zh-CN"/>
        </w:rPr>
        <w:t>39.55</w:t>
      </w:r>
      <w:r>
        <w:rPr>
          <w:rFonts w:hint="eastAsia" w:ascii="宋体" w:hAnsi="宋体" w:eastAsia="宋体" w:cs="宋体"/>
          <w:sz w:val="24"/>
          <w:szCs w:val="24"/>
          <w:highlight w:val="none"/>
        </w:rPr>
        <w:t>%；专业技能课（含顶岗实习、专业认识与入学教育、毕业教育）占比约</w:t>
      </w:r>
      <w:r>
        <w:rPr>
          <w:rFonts w:hint="eastAsia" w:ascii="宋体" w:hAnsi="宋体" w:eastAsia="宋体" w:cs="宋体"/>
          <w:sz w:val="24"/>
          <w:szCs w:val="24"/>
          <w:highlight w:val="none"/>
          <w:lang w:val="en-US" w:eastAsia="zh-CN"/>
        </w:rPr>
        <w:t>40.45</w:t>
      </w:r>
      <w:r>
        <w:rPr>
          <w:rFonts w:hint="eastAsia" w:ascii="宋体" w:hAnsi="宋体" w:eastAsia="宋体" w:cs="宋体"/>
          <w:sz w:val="24"/>
          <w:szCs w:val="24"/>
          <w:highlight w:val="none"/>
        </w:rPr>
        <w:t>%。</w:t>
      </w:r>
    </w:p>
    <w:p>
      <w:pPr>
        <w:pageBreakBefore w:val="0"/>
        <w:numPr>
          <w:ilvl w:val="0"/>
          <w:numId w:val="0"/>
        </w:numPr>
        <w:kinsoku/>
        <w:wordWrap/>
        <w:overflowPunct/>
        <w:topLinePunct w:val="0"/>
        <w:autoSpaceDE/>
        <w:autoSpaceDN/>
        <w:bidi w:val="0"/>
        <w:adjustRightInd/>
        <w:spacing w:line="288" w:lineRule="auto"/>
        <w:ind w:firstLine="960" w:firstLineChars="400"/>
        <w:rPr>
          <w:rFonts w:hint="eastAsia" w:ascii="宋体" w:hAnsi="宋体" w:eastAsia="宋体" w:cs="宋体"/>
          <w:b/>
          <w:sz w:val="24"/>
          <w:szCs w:val="24"/>
          <w:highlight w:val="none"/>
          <w:lang w:val="en-US" w:eastAsia="zh-Hans"/>
        </w:rPr>
        <w:sectPr>
          <w:pgSz w:w="16838" w:h="11906" w:orient="landscape"/>
          <w:pgMar w:top="1797" w:right="1440" w:bottom="1797" w:left="1440" w:header="851" w:footer="992" w:gutter="0"/>
          <w:cols w:space="720" w:num="1"/>
          <w:docGrid w:type="lines" w:linePitch="312" w:charSpace="0"/>
        </w:sect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Hans"/>
        </w:rPr>
        <w:t>.</w:t>
      </w:r>
      <w:r>
        <w:rPr>
          <w:rFonts w:hint="eastAsia" w:ascii="宋体" w:hAnsi="宋体" w:eastAsia="宋体" w:cs="宋体"/>
          <w:sz w:val="24"/>
          <w:szCs w:val="24"/>
          <w:highlight w:val="none"/>
        </w:rPr>
        <w:t>总学分</w:t>
      </w:r>
      <w:r>
        <w:rPr>
          <w:rFonts w:hint="eastAsia" w:ascii="宋体" w:hAnsi="宋体" w:eastAsia="宋体" w:cs="宋体"/>
          <w:sz w:val="24"/>
          <w:szCs w:val="24"/>
          <w:highlight w:val="none"/>
          <w:lang w:val="en-US" w:eastAsia="zh-CN"/>
        </w:rPr>
        <w:t>175</w:t>
      </w:r>
      <w:r>
        <w:rPr>
          <w:rFonts w:hint="eastAsia" w:ascii="宋体" w:hAnsi="宋体" w:eastAsia="宋体" w:cs="宋体"/>
          <w:sz w:val="24"/>
          <w:szCs w:val="24"/>
          <w:highlight w:val="none"/>
        </w:rPr>
        <w:t>。学分计算办法：第1至第5学期每学期16～18学时计1学分；专业实践教学周1周计2学分；顶岗实习1周计1.5学分；军训、专业认识与入学教育、社会实践、毕业教育等活动1周计1学分，共5学分。</w:t>
      </w:r>
    </w:p>
    <w:p>
      <w:pPr>
        <w:pStyle w:val="2"/>
        <w:pageBreakBefore w:val="0"/>
        <w:widowControl w:val="0"/>
        <w:numPr>
          <w:ilvl w:val="0"/>
          <w:numId w:val="0"/>
        </w:numPr>
        <w:kinsoku/>
        <w:wordWrap/>
        <w:overflowPunct/>
        <w:topLinePunct w:val="0"/>
        <w:autoSpaceDE/>
        <w:autoSpaceDN/>
        <w:bidi w:val="0"/>
        <w:adjustRightInd/>
        <w:spacing w:line="288" w:lineRule="auto"/>
        <w:jc w:val="both"/>
        <w:rPr>
          <w:rFonts w:hint="eastAsia" w:ascii="宋体" w:hAnsi="宋体" w:eastAsia="宋体" w:cs="宋体"/>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7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市</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（县）职</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教</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教</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研</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机</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构</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审</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定</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意</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见</w:t>
            </w:r>
          </w:p>
        </w:tc>
        <w:tc>
          <w:tcPr>
            <w:tcW w:w="7589" w:type="dxa"/>
            <w:vAlign w:val="top"/>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keepNext w:val="0"/>
              <w:keepLines w:val="0"/>
              <w:pageBreakBefore w:val="0"/>
              <w:widowControl w:val="0"/>
              <w:kinsoku/>
              <w:wordWrap/>
              <w:overflowPunct/>
              <w:topLinePunct w:val="0"/>
              <w:autoSpaceDE/>
              <w:autoSpaceDN/>
              <w:bidi w:val="0"/>
              <w:adjustRightInd/>
              <w:snapToGrid w:val="0"/>
              <w:spacing w:after="157" w:afterLines="50" w:line="288" w:lineRule="auto"/>
              <w:jc w:val="right"/>
              <w:textAlignment w:val="auto"/>
              <w:rPr>
                <w:rFonts w:hint="eastAsia" w:ascii="宋体" w:hAnsi="宋体" w:eastAsia="宋体" w:cs="宋体"/>
                <w:b/>
                <w:kern w:val="0"/>
                <w:sz w:val="24"/>
                <w:szCs w:val="24"/>
                <w:vertAlign w:val="baseline"/>
              </w:rPr>
            </w:pPr>
            <w:r>
              <w:rPr>
                <w:rFonts w:hint="eastAsia" w:ascii="宋体" w:hAnsi="宋体" w:eastAsia="宋体" w:cs="宋体"/>
                <w:b/>
                <w:kern w:val="0"/>
                <w:sz w:val="24"/>
                <w:szCs w:val="24"/>
                <w:vertAlign w:val="baseline"/>
                <w:lang w:eastAsia="zh-CN"/>
              </w:rPr>
              <w:t>盖章</w:t>
            </w:r>
            <w:r>
              <w:rPr>
                <w:rFonts w:hint="eastAsia" w:ascii="宋体" w:hAnsi="宋体" w:eastAsia="宋体" w:cs="宋体"/>
                <w:b/>
                <w:kern w:val="0"/>
                <w:sz w:val="24"/>
                <w:szCs w:val="24"/>
                <w:vertAlign w:val="baseline"/>
                <w:lang w:val="en-US"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市</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（县）</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教</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育</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局</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审</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批</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意</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kern w:val="0"/>
                <w:sz w:val="24"/>
                <w:szCs w:val="24"/>
                <w:vertAlign w:val="baseline"/>
                <w:lang w:eastAsia="zh-CN"/>
              </w:rPr>
            </w:pPr>
            <w:r>
              <w:rPr>
                <w:rFonts w:hint="eastAsia" w:ascii="宋体" w:hAnsi="宋体" w:eastAsia="宋体" w:cs="宋体"/>
                <w:b/>
                <w:kern w:val="0"/>
                <w:sz w:val="24"/>
                <w:szCs w:val="24"/>
                <w:vertAlign w:val="baseline"/>
                <w:lang w:eastAsia="zh-CN"/>
              </w:rPr>
              <w:t>见</w:t>
            </w:r>
          </w:p>
        </w:tc>
        <w:tc>
          <w:tcPr>
            <w:tcW w:w="7589" w:type="dxa"/>
            <w:vAlign w:val="top"/>
          </w:tcPr>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pageBreakBefore w:val="0"/>
              <w:kinsoku/>
              <w:wordWrap/>
              <w:overflowPunct/>
              <w:topLinePunct w:val="0"/>
              <w:autoSpaceDE/>
              <w:autoSpaceDN/>
              <w:bidi w:val="0"/>
              <w:adjustRightInd/>
              <w:snapToGrid w:val="0"/>
              <w:spacing w:line="288" w:lineRule="auto"/>
              <w:jc w:val="center"/>
              <w:rPr>
                <w:rFonts w:hint="eastAsia" w:ascii="宋体" w:hAnsi="宋体" w:eastAsia="宋体" w:cs="宋体"/>
                <w:b/>
                <w:kern w:val="0"/>
                <w:sz w:val="24"/>
                <w:szCs w:val="24"/>
                <w:vertAlign w:val="baseline"/>
              </w:rPr>
            </w:pPr>
          </w:p>
          <w:p>
            <w:pPr>
              <w:keepNext w:val="0"/>
              <w:keepLines w:val="0"/>
              <w:pageBreakBefore w:val="0"/>
              <w:widowControl w:val="0"/>
              <w:kinsoku/>
              <w:wordWrap/>
              <w:overflowPunct/>
              <w:topLinePunct w:val="0"/>
              <w:autoSpaceDE/>
              <w:autoSpaceDN/>
              <w:bidi w:val="0"/>
              <w:adjustRightInd/>
              <w:snapToGrid w:val="0"/>
              <w:spacing w:after="157" w:afterLines="50" w:line="288" w:lineRule="auto"/>
              <w:jc w:val="right"/>
              <w:textAlignment w:val="auto"/>
              <w:rPr>
                <w:rFonts w:hint="eastAsia" w:ascii="宋体" w:hAnsi="宋体" w:eastAsia="宋体" w:cs="宋体"/>
                <w:b/>
                <w:kern w:val="0"/>
                <w:sz w:val="24"/>
                <w:szCs w:val="24"/>
                <w:vertAlign w:val="baseline"/>
              </w:rPr>
            </w:pPr>
            <w:r>
              <w:rPr>
                <w:rFonts w:hint="eastAsia" w:ascii="宋体" w:hAnsi="宋体" w:eastAsia="宋体" w:cs="宋体"/>
                <w:b/>
                <w:kern w:val="0"/>
                <w:sz w:val="24"/>
                <w:szCs w:val="24"/>
                <w:vertAlign w:val="baseline"/>
                <w:lang w:eastAsia="zh-CN"/>
              </w:rPr>
              <w:t>盖章</w:t>
            </w:r>
            <w:r>
              <w:rPr>
                <w:rFonts w:hint="eastAsia" w:ascii="宋体" w:hAnsi="宋体" w:eastAsia="宋体" w:cs="宋体"/>
                <w:b/>
                <w:kern w:val="0"/>
                <w:sz w:val="24"/>
                <w:szCs w:val="24"/>
                <w:vertAlign w:val="baseline"/>
                <w:lang w:val="en-US" w:eastAsia="zh-CN"/>
              </w:rPr>
              <w:t>:             年    月    日</w:t>
            </w:r>
          </w:p>
        </w:tc>
      </w:tr>
    </w:tbl>
    <w:p>
      <w:pPr>
        <w:pStyle w:val="2"/>
        <w:pageBreakBefore w:val="0"/>
        <w:widowControl w:val="0"/>
        <w:numPr>
          <w:ilvl w:val="0"/>
          <w:numId w:val="0"/>
        </w:numPr>
        <w:kinsoku/>
        <w:wordWrap/>
        <w:overflowPunct/>
        <w:topLinePunct w:val="0"/>
        <w:autoSpaceDE/>
        <w:autoSpaceDN/>
        <w:bidi w:val="0"/>
        <w:adjustRightInd/>
        <w:spacing w:line="288" w:lineRule="auto"/>
        <w:jc w:val="both"/>
        <w:rPr>
          <w:rFonts w:hint="eastAsia" w:ascii="宋体" w:hAnsi="宋体" w:eastAsia="宋体" w:cs="宋体"/>
          <w:sz w:val="24"/>
          <w:szCs w:val="24"/>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黑体">
    <w:altName w:val="汉仪中黑KW"/>
    <w:panose1 w:val="02010609060101010101"/>
    <w:charset w:val="00"/>
    <w:family w:val="auto"/>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64611"/>
    <w:rsid w:val="EAA78A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beforeLines="0" w:after="330" w:afterLines="0" w:line="578" w:lineRule="auto"/>
      <w:jc w:val="left"/>
      <w:outlineLvl w:val="0"/>
    </w:pPr>
    <w:rPr>
      <w:rFonts w:ascii="Calibri" w:hAnsi="Calibri" w:eastAsia="黑体"/>
      <w:bCs/>
      <w:kern w:val="44"/>
      <w:sz w:val="30"/>
      <w:szCs w:val="44"/>
      <w:lang w:val="en-US" w:eastAsia="zh-CN" w:bidi="ar-SA"/>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5">
    <w:name w:val="2文字"/>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6">
    <w:name w:val="annotation text"/>
    <w:basedOn w:val="1"/>
    <w:qFormat/>
    <w:uiPriority w:val="0"/>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annotation subject"/>
    <w:basedOn w:val="6"/>
    <w:next w:val="6"/>
    <w:qFormat/>
    <w:uiPriority w:val="0"/>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0"/>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标题 1 Char"/>
    <w:link w:val="3"/>
    <w:qFormat/>
    <w:uiPriority w:val="0"/>
    <w:rPr>
      <w:rFonts w:ascii="Calibri" w:hAnsi="Calibri" w:eastAsia="黑体"/>
      <w:bCs/>
      <w:kern w:val="44"/>
      <w:sz w:val="30"/>
      <w:szCs w:val="44"/>
      <w:lang w:val="en-US" w:eastAsia="zh-CN" w:bidi="ar-SA"/>
    </w:rPr>
  </w:style>
  <w:style w:type="character" w:customStyle="1" w:styleId="18">
    <w:name w:val="页眉 Char"/>
    <w:link w:val="9"/>
    <w:qFormat/>
    <w:uiPriority w:val="0"/>
    <w:rPr>
      <w:kern w:val="2"/>
      <w:sz w:val="18"/>
      <w:szCs w:val="18"/>
    </w:rPr>
  </w:style>
  <w:style w:type="character" w:customStyle="1" w:styleId="19">
    <w:name w:val="jianju20px"/>
    <w:qFormat/>
    <w:uiPriority w:val="0"/>
  </w:style>
  <w:style w:type="character" w:customStyle="1" w:styleId="20">
    <w:name w:val="样式一 Char Char"/>
    <w:link w:val="21"/>
    <w:qFormat/>
    <w:uiPriority w:val="0"/>
    <w:rPr>
      <w:rFonts w:ascii="宋体" w:hAnsi="宋体"/>
      <w:kern w:val="2"/>
      <w:sz w:val="21"/>
      <w:szCs w:val="21"/>
      <w:lang w:bidi="ar-SA"/>
    </w:rPr>
  </w:style>
  <w:style w:type="paragraph" w:customStyle="1" w:styleId="21">
    <w:name w:val="样式一"/>
    <w:basedOn w:val="1"/>
    <w:link w:val="20"/>
    <w:qFormat/>
    <w:uiPriority w:val="0"/>
    <w:pPr>
      <w:adjustRightInd w:val="0"/>
      <w:snapToGrid w:val="0"/>
      <w:spacing w:line="312" w:lineRule="auto"/>
      <w:ind w:firstLine="420" w:firstLineChars="200"/>
      <w:jc w:val="left"/>
    </w:pPr>
    <w:rPr>
      <w:rFonts w:ascii="宋体" w:hAnsi="宋体"/>
      <w:kern w:val="2"/>
      <w:sz w:val="21"/>
      <w:szCs w:val="21"/>
      <w:lang w:bidi="ar-SA"/>
    </w:rPr>
  </w:style>
  <w:style w:type="character" w:customStyle="1" w:styleId="22">
    <w:name w:val="pt121"/>
    <w:qFormat/>
    <w:uiPriority w:val="0"/>
    <w:rPr>
      <w:sz w:val="24"/>
      <w:szCs w:val="24"/>
    </w:rPr>
  </w:style>
  <w:style w:type="paragraph" w:customStyle="1" w:styleId="23">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24">
    <w:name w:val="List Paragraph"/>
    <w:basedOn w:val="1"/>
    <w:qFormat/>
    <w:uiPriority w:val="0"/>
    <w:pPr>
      <w:ind w:firstLine="420" w:firstLineChars="200"/>
    </w:pPr>
    <w:rPr>
      <w:rFonts w:ascii="Calibri" w:hAnsi="Calibri"/>
      <w:szCs w:val="22"/>
    </w:rPr>
  </w:style>
  <w:style w:type="paragraph" w:customStyle="1" w:styleId="25">
    <w:name w:val="表内容"/>
    <w:basedOn w:val="1"/>
    <w:qFormat/>
    <w:uiPriority w:val="0"/>
    <w:pPr>
      <w:adjustRightInd w:val="0"/>
      <w:snapToGrid w:val="0"/>
      <w:spacing w:line="310" w:lineRule="atLeast"/>
      <w:jc w:val="center"/>
    </w:pPr>
    <w:rPr>
      <w:sz w:val="18"/>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List Paragraph1"/>
    <w:basedOn w:val="1"/>
    <w:qFormat/>
    <w:uiPriority w:val="0"/>
    <w:pPr>
      <w:ind w:firstLine="420" w:firstLineChars="200"/>
    </w:pPr>
    <w:rPr>
      <w:rFonts w:ascii="Calibri" w:hAnsi="Calibri"/>
      <w:szCs w:val="22"/>
    </w:rPr>
  </w:style>
  <w:style w:type="paragraph" w:customStyle="1" w:styleId="28">
    <w:name w:val="样式1"/>
    <w:basedOn w:val="1"/>
    <w:qFormat/>
    <w:uiPriority w:val="0"/>
  </w:style>
  <w:style w:type="paragraph" w:customStyle="1" w:styleId="29">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30">
    <w:name w:val="Char"/>
    <w:basedOn w:val="1"/>
    <w:qFormat/>
    <w:uiPriority w:val="0"/>
    <w:pPr>
      <w:spacing w:line="360" w:lineRule="auto"/>
      <w:ind w:firstLine="480" w:firstLineChars="200"/>
    </w:pPr>
    <w:rPr>
      <w:rFonts w:ascii="宋体" w:hAnsi="宋体" w:eastAsia="楷体_GB2312"/>
      <w:sz w:val="24"/>
      <w:szCs w:val="21"/>
    </w:rPr>
  </w:style>
  <w:style w:type="character" w:customStyle="1" w:styleId="31">
    <w:name w:val="font41"/>
    <w:basedOn w:val="13"/>
    <w:qFormat/>
    <w:uiPriority w:val="0"/>
    <w:rPr>
      <w:rFonts w:hint="eastAsia" w:ascii="仿宋" w:hAnsi="仿宋" w:eastAsia="仿宋" w:cs="仿宋"/>
      <w:b/>
      <w:bCs/>
      <w:color w:val="000000"/>
      <w:sz w:val="21"/>
      <w:szCs w:val="21"/>
      <w:u w:val="none"/>
    </w:rPr>
  </w:style>
  <w:style w:type="character" w:customStyle="1" w:styleId="32">
    <w:name w:val="font11"/>
    <w:basedOn w:val="13"/>
    <w:qFormat/>
    <w:uiPriority w:val="0"/>
    <w:rPr>
      <w:rFonts w:hint="eastAsia" w:ascii="仿宋" w:hAnsi="仿宋" w:eastAsia="仿宋" w:cs="仿宋"/>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8893</Words>
  <Characters>9222</Characters>
  <Lines>116</Lines>
  <Paragraphs>32</Paragraphs>
  <TotalTime>2</TotalTime>
  <ScaleCrop>false</ScaleCrop>
  <LinksUpToDate>false</LinksUpToDate>
  <CharactersWithSpaces>9298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2011-01-04T14:04:00Z</dcterms:created>
  <dc:creator>微软用户</dc:creator>
  <cp:lastModifiedBy>囡囡家的小胖子</cp:lastModifiedBy>
  <cp:lastPrinted>2013-09-18T21:13:00Z</cp:lastPrinted>
  <dcterms:modified xsi:type="dcterms:W3CDTF">2023-10-02T17:13:36Z</dcterms:modified>
  <dc:title>物流服务与管理专业教学指导方案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BCF433E85DB3A50EC0891A658E4CCBEC_43</vt:lpwstr>
  </property>
</Properties>
</file>